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09896D6E" w14:textId="77777777" w:rsidR="00DF707A" w:rsidRDefault="00DF707A" w:rsidP="00DF707A">
      <w:pPr>
        <w:spacing w:after="0"/>
        <w:ind w:left="-142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spellStart"/>
      <w:r w:rsidRPr="0043124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Апиксабан</w:t>
      </w:r>
      <w:proofErr w:type="spellEnd"/>
    </w:p>
    <w:p w14:paraId="7837BA7F" w14:textId="77777777" w:rsidR="00DF707A" w:rsidRDefault="00DF707A" w:rsidP="00DF707A">
      <w:pPr>
        <w:spacing w:after="0"/>
        <w:ind w:left="-142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0CFA9A6B" w14:textId="77777777" w:rsidR="00DF707A" w:rsidRDefault="00DF707A" w:rsidP="00DF707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D115B">
        <w:rPr>
          <w:rFonts w:ascii="Times New Roman" w:hAnsi="Times New Roman" w:cs="Times New Roman"/>
          <w:sz w:val="28"/>
          <w:szCs w:val="28"/>
        </w:rPr>
        <w:t>- таблетки по 2,5; 5 мг, дозу и кратность определяет лечащий врач, препарат принимают внутрь, 2 раза в день через равные временные промежутки, независимо от приема пищи.</w:t>
      </w:r>
    </w:p>
    <w:p w14:paraId="0502AD27" w14:textId="77777777" w:rsidR="00DF707A" w:rsidRPr="00032F8D" w:rsidRDefault="00DF707A" w:rsidP="00DF707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2F8D">
        <w:rPr>
          <w:rFonts w:ascii="Times New Roman" w:hAnsi="Times New Roman" w:cs="Times New Roman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032F8D">
        <w:rPr>
          <w:rFonts w:ascii="Times New Roman" w:hAnsi="Times New Roman" w:cs="Times New Roman"/>
          <w:sz w:val="28"/>
          <w:szCs w:val="28"/>
        </w:rPr>
        <w:t>ри температуре не выше 25 град.</w:t>
      </w:r>
    </w:p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1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1"/>
    </w:p>
    <w:p w14:paraId="6E3216B0" w14:textId="50AF311C" w:rsid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78057836"/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r w:rsidR="00DF707A">
        <w:rPr>
          <w:rFonts w:ascii="Times New Roman" w:hAnsi="Times New Roman" w:cs="Times New Roman"/>
          <w:sz w:val="28"/>
          <w:szCs w:val="28"/>
        </w:rPr>
        <w:t>АПИКСАБАН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DF707A">
        <w:rPr>
          <w:rFonts w:ascii="Times New Roman" w:hAnsi="Times New Roman" w:cs="Times New Roman"/>
          <w:sz w:val="28"/>
          <w:szCs w:val="28"/>
        </w:rPr>
        <w:t>АПИКСАБАН</w:t>
      </w:r>
      <w:r w:rsidR="00784598"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 w:rsidR="00784598">
        <w:rPr>
          <w:rFonts w:ascii="Times New Roman" w:hAnsi="Times New Roman" w:cs="Times New Roman"/>
          <w:sz w:val="28"/>
          <w:szCs w:val="28"/>
        </w:rPr>
        <w:t xml:space="preserve">, </w:t>
      </w:r>
      <w:r w:rsidR="00784598"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A122C2" w14:textId="534C4088" w:rsidR="007D1E11" w:rsidRPr="003C0BFA" w:rsidRDefault="00305665" w:rsidP="007D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265D7C88" w14:textId="77777777" w:rsidR="003C0BFA" w:rsidRDefault="003C0BFA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 xml:space="preserve">Прекратите прием препарата АПИКСАБАН и немедленно обратитесь за медицинской помощью в случае возникновения признаков: </w:t>
      </w:r>
    </w:p>
    <w:p w14:paraId="5B0552B9" w14:textId="77777777" w:rsidR="003C0BFA" w:rsidRDefault="003C0BFA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 xml:space="preserve">• </w:t>
      </w:r>
      <w:r w:rsidRPr="007922B1">
        <w:rPr>
          <w:rFonts w:ascii="Times New Roman" w:hAnsi="Times New Roman" w:cs="Times New Roman"/>
          <w:b/>
          <w:bCs/>
          <w:sz w:val="28"/>
          <w:szCs w:val="28"/>
        </w:rPr>
        <w:t>гиперчувствительности, аллергического отека, анафилаксии</w:t>
      </w:r>
      <w:r w:rsidRPr="003C0BFA">
        <w:rPr>
          <w:rFonts w:ascii="Times New Roman" w:hAnsi="Times New Roman" w:cs="Times New Roman"/>
          <w:sz w:val="28"/>
          <w:szCs w:val="28"/>
        </w:rPr>
        <w:t xml:space="preserve">, </w:t>
      </w:r>
      <w:r w:rsidRPr="007922B1">
        <w:rPr>
          <w:rFonts w:ascii="Times New Roman" w:hAnsi="Times New Roman" w:cs="Times New Roman"/>
          <w:b/>
          <w:bCs/>
          <w:sz w:val="28"/>
          <w:szCs w:val="28"/>
        </w:rPr>
        <w:t>которые наблюдались нечасто</w:t>
      </w:r>
      <w:r w:rsidRPr="003C0BFA">
        <w:rPr>
          <w:rFonts w:ascii="Times New Roman" w:hAnsi="Times New Roman" w:cs="Times New Roman"/>
          <w:sz w:val="28"/>
          <w:szCs w:val="28"/>
        </w:rPr>
        <w:t xml:space="preserve"> (могут возникать не более чем у 1 человека из 100) – затрудненное дыхание или глотание, отек лица, губ, языка или горла, головокружение, помутнение сознания; сильный зуд кожи; </w:t>
      </w:r>
    </w:p>
    <w:p w14:paraId="11BA0282" w14:textId="77777777" w:rsidR="003C0BFA" w:rsidRDefault="003C0BFA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 xml:space="preserve">• </w:t>
      </w:r>
      <w:r w:rsidRPr="007922B1">
        <w:rPr>
          <w:rFonts w:ascii="Times New Roman" w:hAnsi="Times New Roman" w:cs="Times New Roman"/>
          <w:b/>
          <w:bCs/>
          <w:sz w:val="28"/>
          <w:szCs w:val="28"/>
        </w:rPr>
        <w:t>внутричерепного кровоизлияния, которое наблюдалось нечасто</w:t>
      </w:r>
      <w:r w:rsidRPr="003C0BFA">
        <w:rPr>
          <w:rFonts w:ascii="Times New Roman" w:hAnsi="Times New Roman" w:cs="Times New Roman"/>
          <w:sz w:val="28"/>
          <w:szCs w:val="28"/>
        </w:rPr>
        <w:t xml:space="preserve"> (может возникать не более чем у 1 человека из 100) – внезапная сильная головная боль, рвота, помутнение сознания, судороги; </w:t>
      </w:r>
    </w:p>
    <w:p w14:paraId="3767FDC6" w14:textId="76435FAA" w:rsidR="00DF707A" w:rsidRPr="003C0BFA" w:rsidRDefault="003C0BFA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 xml:space="preserve">• </w:t>
      </w:r>
      <w:r w:rsidRPr="007922B1">
        <w:rPr>
          <w:rFonts w:ascii="Times New Roman" w:hAnsi="Times New Roman" w:cs="Times New Roman"/>
          <w:b/>
          <w:bCs/>
          <w:sz w:val="28"/>
          <w:szCs w:val="28"/>
        </w:rPr>
        <w:t>внутрибрюшного кровотечения, которое наблюдалось нечасто</w:t>
      </w:r>
      <w:r w:rsidRPr="003C0BFA">
        <w:rPr>
          <w:rFonts w:ascii="Times New Roman" w:hAnsi="Times New Roman" w:cs="Times New Roman"/>
          <w:sz w:val="28"/>
          <w:szCs w:val="28"/>
        </w:rPr>
        <w:t xml:space="preserve"> (может возникать не более чем у 1 человека из 100) или забрюшинного кровотечения, которое наблюдалось редко (может возникать не более чем у 1 человека из 1 000) – внезапная сильная слабость, холодный пот, головокружение, потемнение в глазах, бледность, учащенное сердцебиение, напряжение мышц живота, боль в животе, отдающая в грудь или спину;</w:t>
      </w:r>
    </w:p>
    <w:p w14:paraId="52526FFF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 xml:space="preserve">• </w:t>
      </w:r>
      <w:r w:rsidRPr="007922B1">
        <w:rPr>
          <w:rFonts w:ascii="Times New Roman" w:hAnsi="Times New Roman" w:cs="Times New Roman"/>
          <w:b/>
          <w:bCs/>
          <w:sz w:val="28"/>
          <w:szCs w:val="28"/>
        </w:rPr>
        <w:t>желудочно-кишечного кровотечения, которое наблюдалось часто</w:t>
      </w:r>
      <w:r w:rsidRPr="003C0BFA">
        <w:rPr>
          <w:rFonts w:ascii="Times New Roman" w:hAnsi="Times New Roman" w:cs="Times New Roman"/>
          <w:sz w:val="28"/>
          <w:szCs w:val="28"/>
        </w:rPr>
        <w:t xml:space="preserve"> (может</w:t>
      </w:r>
    </w:p>
    <w:p w14:paraId="3F9F7D1A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возникать не более чем у 1 человека из 10) – кровавая рвота, черный или кровавый</w:t>
      </w:r>
    </w:p>
    <w:p w14:paraId="648F24C3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стул.</w:t>
      </w:r>
    </w:p>
    <w:p w14:paraId="3782A254" w14:textId="408F74D9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Другие возможные нежелательные реакции, </w:t>
      </w:r>
      <w:r w:rsidRPr="003C0BFA">
        <w:rPr>
          <w:rFonts w:ascii="Times New Roman" w:hAnsi="Times New Roman" w:cs="Times New Roman"/>
          <w:sz w:val="28"/>
          <w:szCs w:val="28"/>
        </w:rPr>
        <w:t>которые могут наблюдаться при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BFA">
        <w:rPr>
          <w:rFonts w:ascii="Times New Roman" w:hAnsi="Times New Roman" w:cs="Times New Roman"/>
          <w:sz w:val="28"/>
          <w:szCs w:val="28"/>
        </w:rPr>
        <w:t>препарата АПИКСАБАН:</w:t>
      </w:r>
    </w:p>
    <w:p w14:paraId="299A537F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b/>
          <w:bCs/>
          <w:sz w:val="28"/>
          <w:szCs w:val="28"/>
        </w:rPr>
        <w:t xml:space="preserve">Часто </w:t>
      </w:r>
      <w:r w:rsidRPr="003C0BFA">
        <w:rPr>
          <w:rFonts w:ascii="Times New Roman" w:hAnsi="Times New Roman" w:cs="Times New Roman"/>
          <w:sz w:val="28"/>
          <w:szCs w:val="28"/>
        </w:rPr>
        <w:t>(могут возникать не более чем у 1 человека из 10):</w:t>
      </w:r>
    </w:p>
    <w:p w14:paraId="375193FC" w14:textId="13BCCBE2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• слабость, повышенная утомляемость, в анализах – уменьшение числа эритроцитов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BFA">
        <w:rPr>
          <w:rFonts w:ascii="Times New Roman" w:hAnsi="Times New Roman" w:cs="Times New Roman"/>
          <w:sz w:val="28"/>
          <w:szCs w:val="28"/>
        </w:rPr>
        <w:t>гемоглобина (признаки анемии);</w:t>
      </w:r>
    </w:p>
    <w:p w14:paraId="4FA7001D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• кровоизлияния и синяки (гематомы);</w:t>
      </w:r>
    </w:p>
    <w:p w14:paraId="556381D6" w14:textId="76AB33E6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lastRenderedPageBreak/>
        <w:t>• кровоподтеки на глазном яблоке или веке (кровоизлияния в ткани глазного яблока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BF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C0BFA">
        <w:rPr>
          <w:rFonts w:ascii="Times New Roman" w:hAnsi="Times New Roman" w:cs="Times New Roman"/>
          <w:sz w:val="28"/>
          <w:szCs w:val="28"/>
        </w:rPr>
        <w:t>юктиву</w:t>
      </w:r>
      <w:proofErr w:type="spellEnd"/>
      <w:r w:rsidRPr="003C0BFA">
        <w:rPr>
          <w:rFonts w:ascii="Times New Roman" w:hAnsi="Times New Roman" w:cs="Times New Roman"/>
          <w:sz w:val="28"/>
          <w:szCs w:val="28"/>
        </w:rPr>
        <w:t>);</w:t>
      </w:r>
    </w:p>
    <w:p w14:paraId="6578CDF9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• носовое кровотечение;</w:t>
      </w:r>
    </w:p>
    <w:p w14:paraId="41B8D2FD" w14:textId="54D7D24A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• кровь при опорожнении кишечника, видимая кровь в кале (кровотечение из прямой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BFA">
        <w:rPr>
          <w:rFonts w:ascii="Times New Roman" w:hAnsi="Times New Roman" w:cs="Times New Roman"/>
          <w:sz w:val="28"/>
          <w:szCs w:val="28"/>
        </w:rPr>
        <w:t>кишки);</w:t>
      </w:r>
    </w:p>
    <w:p w14:paraId="6A831D1B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• кровь во рту, кровоточивость десен;</w:t>
      </w:r>
    </w:p>
    <w:p w14:paraId="430095E9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• кровь в моче, либо наличие крови или эритроцитов в анализе мочи (гематурия);</w:t>
      </w:r>
    </w:p>
    <w:p w14:paraId="0883E437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• легкое возникновение ушибов.</w:t>
      </w:r>
    </w:p>
    <w:p w14:paraId="46D6B9EB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b/>
          <w:bCs/>
          <w:sz w:val="28"/>
          <w:szCs w:val="28"/>
        </w:rPr>
        <w:t xml:space="preserve">Нечасто </w:t>
      </w:r>
      <w:r w:rsidRPr="003C0BFA">
        <w:rPr>
          <w:rFonts w:ascii="Times New Roman" w:hAnsi="Times New Roman" w:cs="Times New Roman"/>
          <w:sz w:val="28"/>
          <w:szCs w:val="28"/>
        </w:rPr>
        <w:t>(могут возникать не более чем у 1 человека из 100):</w:t>
      </w:r>
    </w:p>
    <w:p w14:paraId="36A73F18" w14:textId="77777777" w:rsidR="003C0BFA" w:rsidRPr="003C0BFA" w:rsidRDefault="003C0BFA" w:rsidP="003C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BFA">
        <w:rPr>
          <w:rFonts w:ascii="Times New Roman" w:hAnsi="Times New Roman" w:cs="Times New Roman"/>
          <w:sz w:val="28"/>
          <w:szCs w:val="28"/>
        </w:rPr>
        <w:t>• кожный зуд или кожная сыпь;</w:t>
      </w:r>
    </w:p>
    <w:p w14:paraId="2E4D0F96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низкое артериальное давление (артериальная гипотензия);</w:t>
      </w:r>
    </w:p>
    <w:p w14:paraId="5D5BC2FC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кровохарканье;</w:t>
      </w:r>
    </w:p>
    <w:p w14:paraId="2454210E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кровотечение из геморроидальных вен (геморроидальное кровотечение), во рту;</w:t>
      </w:r>
    </w:p>
    <w:p w14:paraId="4A84D1F4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алая (неизмененная) кровь в кале;</w:t>
      </w:r>
    </w:p>
    <w:p w14:paraId="64775C7F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922B1">
        <w:rPr>
          <w:rFonts w:ascii="Times New Roman" w:hAnsi="Times New Roman" w:cs="Times New Roman"/>
          <w:sz w:val="28"/>
          <w:szCs w:val="28"/>
        </w:rPr>
        <w:t>межменструальные</w:t>
      </w:r>
      <w:proofErr w:type="spellEnd"/>
      <w:r w:rsidRPr="007922B1">
        <w:rPr>
          <w:rFonts w:ascii="Times New Roman" w:hAnsi="Times New Roman" w:cs="Times New Roman"/>
          <w:sz w:val="28"/>
          <w:szCs w:val="28"/>
        </w:rPr>
        <w:t xml:space="preserve"> кровотечения, кровотечения из половых органов</w:t>
      </w:r>
    </w:p>
    <w:p w14:paraId="522472B1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(урогенитальные кровотечения);</w:t>
      </w:r>
    </w:p>
    <w:p w14:paraId="5B50C21F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кровотечения при легкой травме, либо после незначительных медицинских</w:t>
      </w:r>
    </w:p>
    <w:p w14:paraId="44340697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манипуляций, таких как стоматологические процедуры, взятие крови на анализ,</w:t>
      </w:r>
    </w:p>
    <w:p w14:paraId="1AED94D7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инъекции;</w:t>
      </w:r>
    </w:p>
    <w:p w14:paraId="2773C89C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кровотечение во время операции, из послеоперационной раны, кровотечение или</w:t>
      </w:r>
    </w:p>
    <w:p w14:paraId="1FE3CD9C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гематома в месте хирургического разреза;</w:t>
      </w:r>
    </w:p>
    <w:p w14:paraId="01539159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изменения в анализах крови, такие как уменьшение числа тромбоцитов</w:t>
      </w:r>
    </w:p>
    <w:p w14:paraId="7DFBB53B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(тромбоцитопения), повышение активности печеночных ферментов</w:t>
      </w:r>
    </w:p>
    <w:p w14:paraId="7A8543CC" w14:textId="3C649797" w:rsidR="003C0BF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22B1">
        <w:rPr>
          <w:rFonts w:ascii="Times New Roman" w:hAnsi="Times New Roman" w:cs="Times New Roman"/>
          <w:sz w:val="28"/>
          <w:szCs w:val="28"/>
        </w:rPr>
        <w:t>аланиламинотрансферазы</w:t>
      </w:r>
      <w:proofErr w:type="spellEnd"/>
      <w:r w:rsidRPr="007922B1">
        <w:rPr>
          <w:rFonts w:ascii="Times New Roman" w:hAnsi="Times New Roman" w:cs="Times New Roman"/>
          <w:sz w:val="28"/>
          <w:szCs w:val="28"/>
        </w:rPr>
        <w:t xml:space="preserve"> (АЛТ или </w:t>
      </w:r>
      <w:proofErr w:type="spellStart"/>
      <w:r w:rsidRPr="007922B1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7922B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922B1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7922B1">
        <w:rPr>
          <w:rFonts w:ascii="Times New Roman" w:hAnsi="Times New Roman" w:cs="Times New Roman"/>
          <w:sz w:val="28"/>
          <w:szCs w:val="28"/>
        </w:rPr>
        <w:t xml:space="preserve"> (АСТ или</w:t>
      </w:r>
    </w:p>
    <w:p w14:paraId="6C2FB91D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22B1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7922B1">
        <w:rPr>
          <w:rFonts w:ascii="Times New Roman" w:hAnsi="Times New Roman" w:cs="Times New Roman"/>
          <w:sz w:val="28"/>
          <w:szCs w:val="28"/>
        </w:rPr>
        <w:t>), повышение активности щелочной фосфатазы (ЩФ), повышение</w:t>
      </w:r>
    </w:p>
    <w:p w14:paraId="7DDD7C6D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концентрации билирубина, а также положительная реакция при анализе кала на</w:t>
      </w:r>
    </w:p>
    <w:p w14:paraId="34FB5B35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скрытую кровь.</w:t>
      </w:r>
    </w:p>
    <w:p w14:paraId="29E6D29A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b/>
          <w:bCs/>
          <w:sz w:val="28"/>
          <w:szCs w:val="28"/>
        </w:rPr>
        <w:t xml:space="preserve">Редко </w:t>
      </w:r>
      <w:r w:rsidRPr="007922B1">
        <w:rPr>
          <w:rFonts w:ascii="Times New Roman" w:hAnsi="Times New Roman" w:cs="Times New Roman"/>
          <w:sz w:val="28"/>
          <w:szCs w:val="28"/>
        </w:rPr>
        <w:t>(могут возникать не более чем у 1 человека из 1 000):</w:t>
      </w:r>
    </w:p>
    <w:p w14:paraId="172A2953" w14:textId="77777777" w:rsidR="007922B1" w:rsidRP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кровотечение из дыхательных путей;</w:t>
      </w:r>
    </w:p>
    <w:p w14:paraId="32B68932" w14:textId="478024A7" w:rsid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B1">
        <w:rPr>
          <w:rFonts w:ascii="Times New Roman" w:hAnsi="Times New Roman" w:cs="Times New Roman"/>
          <w:sz w:val="28"/>
          <w:szCs w:val="28"/>
        </w:rPr>
        <w:t>• кровоизлияния в мышцы.</w:t>
      </w:r>
    </w:p>
    <w:p w14:paraId="6BF5E823" w14:textId="77777777" w:rsid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5E016" w14:textId="77777777" w:rsidR="007922B1" w:rsidRPr="004E354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566232F7" w14:textId="77777777" w:rsidR="007D1E11" w:rsidRDefault="00000000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7D1E11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6D65E0E9" w14:textId="77777777" w:rsidR="007D1E11" w:rsidRDefault="007D1E1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4EE560E3" w14:textId="77777777" w:rsidR="007922B1" w:rsidRDefault="007922B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250CF8CE" w14:textId="4A71FC8E" w:rsidR="007922B1" w:rsidRPr="00032F8D" w:rsidRDefault="007922B1" w:rsidP="007922B1">
      <w:pPr>
        <w:spacing w:after="0"/>
        <w:ind w:left="-142"/>
        <w:rPr>
          <w:b/>
          <w:bCs/>
          <w:i/>
          <w:sz w:val="28"/>
          <w:szCs w:val="28"/>
        </w:rPr>
      </w:pPr>
      <w:bookmarkStart w:id="4" w:name="_Hlk177974619"/>
      <w:r w:rsidRPr="00032F8D">
        <w:rPr>
          <w:b/>
          <w:bCs/>
          <w:i/>
          <w:sz w:val="28"/>
          <w:szCs w:val="28"/>
        </w:rPr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032F8D">
        <w:rPr>
          <w:b/>
          <w:bCs/>
          <w:i/>
          <w:sz w:val="28"/>
          <w:szCs w:val="28"/>
        </w:rPr>
        <w:t>можно узнать по ссылке на сайте ГРЛС:</w:t>
      </w:r>
    </w:p>
    <w:bookmarkEnd w:id="4"/>
    <w:p w14:paraId="7DB1B925" w14:textId="77777777" w:rsidR="007922B1" w:rsidRPr="00032F8D" w:rsidRDefault="007922B1" w:rsidP="007922B1">
      <w:pPr>
        <w:spacing w:after="0"/>
        <w:ind w:left="-142"/>
        <w:rPr>
          <w:b/>
          <w:bCs/>
          <w:i/>
          <w:sz w:val="28"/>
          <w:szCs w:val="28"/>
        </w:rPr>
      </w:pPr>
    </w:p>
    <w:p w14:paraId="2618B721" w14:textId="77777777" w:rsidR="007922B1" w:rsidRPr="00032F8D" w:rsidRDefault="007922B1" w:rsidP="007922B1">
      <w:pPr>
        <w:spacing w:after="0"/>
        <w:ind w:left="-142"/>
        <w:rPr>
          <w:b/>
          <w:bCs/>
          <w:i/>
          <w:sz w:val="28"/>
          <w:szCs w:val="28"/>
        </w:rPr>
      </w:pPr>
      <w:hyperlink r:id="rId7" w:history="1">
        <w:r w:rsidRPr="00032F8D">
          <w:rPr>
            <w:rStyle w:val="a3"/>
            <w:b/>
            <w:bCs/>
            <w:i/>
            <w:sz w:val="28"/>
            <w:szCs w:val="28"/>
          </w:rPr>
          <w:t>https://grls.pharm-portal.ru/grls/1ad4e448-0a17-4d54-9754-3791c0b68b40</w:t>
        </w:r>
      </w:hyperlink>
    </w:p>
    <w:p w14:paraId="1D363C0A" w14:textId="77777777" w:rsidR="007922B1" w:rsidRPr="00032F8D" w:rsidRDefault="007922B1" w:rsidP="007922B1">
      <w:pPr>
        <w:spacing w:after="0"/>
        <w:ind w:left="-142"/>
        <w:rPr>
          <w:b/>
          <w:bCs/>
          <w:i/>
          <w:sz w:val="28"/>
          <w:szCs w:val="28"/>
        </w:rPr>
      </w:pPr>
    </w:p>
    <w:p w14:paraId="44AA174F" w14:textId="77777777" w:rsidR="007922B1" w:rsidRPr="00032F8D" w:rsidRDefault="007922B1" w:rsidP="007922B1">
      <w:pPr>
        <w:spacing w:after="0"/>
        <w:ind w:left="-142"/>
        <w:rPr>
          <w:b/>
          <w:bCs/>
          <w:i/>
          <w:sz w:val="28"/>
          <w:szCs w:val="28"/>
        </w:rPr>
      </w:pPr>
      <w:r w:rsidRPr="00032F8D">
        <w:rPr>
          <w:b/>
          <w:bCs/>
          <w:i/>
          <w:sz w:val="28"/>
          <w:szCs w:val="28"/>
        </w:rPr>
        <w:t>и РЛС:</w:t>
      </w:r>
    </w:p>
    <w:p w14:paraId="4C4D1D12" w14:textId="77777777" w:rsidR="007922B1" w:rsidRPr="00032F8D" w:rsidRDefault="007922B1" w:rsidP="007922B1">
      <w:pPr>
        <w:spacing w:after="0"/>
        <w:ind w:left="-142"/>
        <w:rPr>
          <w:b/>
          <w:bCs/>
          <w:i/>
          <w:sz w:val="28"/>
          <w:szCs w:val="28"/>
        </w:rPr>
      </w:pPr>
    </w:p>
    <w:p w14:paraId="4561208B" w14:textId="77777777" w:rsidR="007922B1" w:rsidRPr="00032F8D" w:rsidRDefault="007922B1" w:rsidP="007922B1">
      <w:pPr>
        <w:spacing w:after="0"/>
        <w:ind w:left="-142"/>
        <w:rPr>
          <w:b/>
          <w:bCs/>
          <w:i/>
          <w:sz w:val="28"/>
          <w:szCs w:val="28"/>
        </w:rPr>
      </w:pPr>
      <w:hyperlink r:id="rId8" w:history="1">
        <w:r w:rsidRPr="00032F8D">
          <w:rPr>
            <w:rStyle w:val="a3"/>
            <w:b/>
            <w:bCs/>
            <w:i/>
            <w:sz w:val="28"/>
            <w:szCs w:val="28"/>
          </w:rPr>
          <w:t>https://www.rlsnet.ru/active-substance/apiksaban-3099</w:t>
        </w:r>
      </w:hyperlink>
    </w:p>
    <w:p w14:paraId="3A2A48A4" w14:textId="77777777" w:rsidR="007922B1" w:rsidRPr="00032F8D" w:rsidRDefault="007922B1" w:rsidP="007922B1">
      <w:pPr>
        <w:spacing w:after="0"/>
        <w:ind w:left="-142"/>
        <w:rPr>
          <w:rFonts w:cstheme="minorHAnsi"/>
          <w:b/>
          <w:bCs/>
          <w:sz w:val="28"/>
          <w:szCs w:val="28"/>
        </w:rPr>
      </w:pPr>
    </w:p>
    <w:p w14:paraId="033194BF" w14:textId="77777777" w:rsidR="007922B1" w:rsidRPr="00032F8D" w:rsidRDefault="007922B1" w:rsidP="007922B1">
      <w:pPr>
        <w:spacing w:after="0"/>
        <w:ind w:left="-142"/>
        <w:rPr>
          <w:rFonts w:cstheme="minorHAnsi"/>
          <w:b/>
          <w:bCs/>
          <w:sz w:val="28"/>
          <w:szCs w:val="28"/>
        </w:rPr>
      </w:pPr>
      <w:hyperlink r:id="rId9" w:history="1">
        <w:r w:rsidRPr="00032F8D">
          <w:rPr>
            <w:rStyle w:val="a3"/>
            <w:rFonts w:cstheme="minorHAnsi"/>
            <w:b/>
            <w:bCs/>
            <w:sz w:val="28"/>
            <w:szCs w:val="28"/>
          </w:rPr>
          <w:t>https://www.rlsnet.ru/drugs/elikvis-43293</w:t>
        </w:r>
      </w:hyperlink>
    </w:p>
    <w:p w14:paraId="20241CB6" w14:textId="77777777" w:rsidR="007922B1" w:rsidRDefault="007922B1" w:rsidP="007922B1">
      <w:pPr>
        <w:spacing w:after="0"/>
        <w:ind w:left="-142"/>
        <w:rPr>
          <w:rFonts w:cstheme="minorHAnsi"/>
        </w:rPr>
      </w:pPr>
    </w:p>
    <w:p w14:paraId="7225DE22" w14:textId="77777777" w:rsidR="007922B1" w:rsidRDefault="007922B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538E14A9" w14:textId="77777777" w:rsidR="007D1E11" w:rsidRDefault="007D1E1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56B31CC7" w14:textId="77777777" w:rsidR="007922B1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</w:pP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Данные клинических исследований</w:t>
      </w:r>
    </w:p>
    <w:p w14:paraId="3063E7A5" w14:textId="77777777" w:rsidR="007922B1" w:rsidRPr="007A3974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A397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Следующие клинически значимые побочные эффекты более подробно описаны в разделе «Меры предосторожности»:</w:t>
      </w:r>
    </w:p>
    <w:p w14:paraId="03BA6742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клинические исследования проводятся в самых разных условиях, показатели частоты возникновения побочных эффектов, наблюдаемые в клинических исследованиях одного ЛС, не следует сравнивать с показателями, наблюдаемыми в клинических исследованиях другого ЛС, и они могут не отражать показатели, наблюдаемые на практике.</w:t>
      </w:r>
    </w:p>
    <w:p w14:paraId="2117F8F0" w14:textId="77777777" w:rsidR="007922B1" w:rsidRPr="0043124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124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Снижение риска развития инсульта и системной эмболии у пациентов с неклапанной фибрилляцией предсердий</w:t>
      </w:r>
    </w:p>
    <w:p w14:paraId="2FB5DE3D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Безопасность применения 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оценивали в ходе исследований </w:t>
      </w:r>
      <w:r w:rsidRPr="00FD115B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E0EBED"/>
          <w:lang w:eastAsia="ru-RU"/>
        </w:rPr>
        <w:t>ARISTOTLE</w:t>
      </w: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 </w:t>
      </w:r>
      <w:r w:rsidRPr="00FD115B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E0EBED"/>
          <w:lang w:eastAsia="ru-RU"/>
        </w:rPr>
        <w:t>AVERROES</w:t>
      </w: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(см. </w:t>
      </w: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E0EBED"/>
          <w:lang w:eastAsia="ru-RU"/>
        </w:rPr>
        <w:t>Клинические исследования</w:t>
      </w: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с участием 11284 пациентов, принимавших 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дозе 5 мг 2 раза/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сут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и 602 пациентов, принимавших 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дозе 2,5 мг 2 раза/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сут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Продолжительность воздействия 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составляла ≥12 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мес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9375 пациентов и ≥24 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мес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3369 пациентов в ходе этих 2 исследований. В исследовании </w:t>
      </w:r>
      <w:r w:rsidRPr="00FD115B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E0EBED"/>
          <w:lang w:eastAsia="ru-RU"/>
        </w:rPr>
        <w:t>ARISTOTLE</w:t>
      </w: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средняя продолжительность воздействия составляла 89 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(&gt;15000 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пациенто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-лет). В исследовании </w:t>
      </w:r>
      <w:r w:rsidRPr="00FD115B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E0EBED"/>
          <w:lang w:eastAsia="ru-RU"/>
        </w:rPr>
        <w:t>AVERROES</w:t>
      </w: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средняя продолжительность воздействия составляла примерно 59 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(&gt;3000 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пациенто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-лет).</w:t>
      </w:r>
    </w:p>
    <w:p w14:paraId="6F1B95D6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Наиболее частой причиной прекращения терапии в обоих исследованиях были побочные эффекты, связанные с кровотечением; в исследовании </w:t>
      </w:r>
      <w:r w:rsidRPr="00FD115B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E0EBED"/>
          <w:lang w:eastAsia="ru-RU"/>
        </w:rPr>
        <w:t>ARISTOTLE</w:t>
      </w: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прекращение терапии произошло у 1,7% и 2,5% пациентов, принимавших 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варфарин соответственно, а в исследовании </w:t>
      </w:r>
      <w:r w:rsidRPr="00FD115B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E0EBED"/>
          <w:lang w:eastAsia="ru-RU"/>
        </w:rPr>
        <w:t>AVERROES</w:t>
      </w:r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— у 1,5% и 1,3% пациентов, принимавших </w:t>
      </w:r>
      <w:proofErr w:type="spellStart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ацетилсалициловую кислоту соответственно.</w:t>
      </w:r>
    </w:p>
    <w:p w14:paraId="10501E1E" w14:textId="77777777" w:rsidR="007922B1" w:rsidRPr="0043124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124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Кровотечения у пациентов с неклапанной фибрилляцией предсердий в исследованиях ARISTOTLE и AVERROES</w:t>
      </w:r>
    </w:p>
    <w:p w14:paraId="6CA0239C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таблицах представлены данные о количестве пациентов, у которых в период лечения возникло большое кровотечение, и частоте кровотечений (процент пациентов, у которых произошло хотя бы одно кровотечение на 100 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пациенто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-лет) в исследованиях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ARISTOTLE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AVERROES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6831926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14:paraId="7E689BD8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Случаи кровотечения у пациентов с неклапанной фибрилляцией предсердий в исследовании </w:t>
      </w: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ARISTOTLE</w:t>
      </w: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*</w:t>
      </w:r>
    </w:p>
    <w:tbl>
      <w:tblPr>
        <w:tblW w:w="10490" w:type="dxa"/>
        <w:tblInd w:w="-292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560"/>
        <w:gridCol w:w="1275"/>
      </w:tblGrid>
      <w:tr w:rsidR="007922B1" w:rsidRPr="00020C4A" w14:paraId="405B6D36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E2FB3E5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Случаи кровотечения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7150692" w14:textId="77777777" w:rsidR="007922B1" w:rsidRPr="00020C4A" w:rsidRDefault="007922B1" w:rsidP="00EB5550">
            <w:pPr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bCs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bCs/>
                <w:sz w:val="18"/>
                <w:szCs w:val="18"/>
                <w:lang w:eastAsia="ru-RU"/>
              </w:rPr>
              <w:t>, (N=9088), n (на 100 </w:t>
            </w:r>
            <w:proofErr w:type="spellStart"/>
            <w:r w:rsidRPr="00020C4A">
              <w:rPr>
                <w:b/>
                <w:bCs/>
                <w:sz w:val="18"/>
                <w:szCs w:val="18"/>
                <w:lang w:eastAsia="ru-RU"/>
              </w:rPr>
              <w:t>пациенто</w:t>
            </w:r>
            <w:proofErr w:type="spellEnd"/>
            <w:r w:rsidRPr="00020C4A">
              <w:rPr>
                <w:b/>
                <w:bCs/>
                <w:sz w:val="18"/>
                <w:szCs w:val="18"/>
                <w:lang w:eastAsia="ru-RU"/>
              </w:rPr>
              <w:t>-лет)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CA9F996" w14:textId="77777777" w:rsidR="007922B1" w:rsidRPr="00020C4A" w:rsidRDefault="007922B1" w:rsidP="00EB5550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20C4A">
              <w:rPr>
                <w:b/>
                <w:bCs/>
                <w:sz w:val="18"/>
                <w:szCs w:val="18"/>
                <w:lang w:eastAsia="ru-RU"/>
              </w:rPr>
              <w:t>Варфарин, (N=9052), n (на 100 </w:t>
            </w:r>
            <w:proofErr w:type="spellStart"/>
            <w:r w:rsidRPr="00020C4A">
              <w:rPr>
                <w:b/>
                <w:bCs/>
                <w:sz w:val="18"/>
                <w:szCs w:val="18"/>
                <w:lang w:eastAsia="ru-RU"/>
              </w:rPr>
              <w:t>пациенто</w:t>
            </w:r>
            <w:proofErr w:type="spellEnd"/>
            <w:r w:rsidRPr="00020C4A">
              <w:rPr>
                <w:b/>
                <w:bCs/>
                <w:sz w:val="18"/>
                <w:szCs w:val="18"/>
                <w:lang w:eastAsia="ru-RU"/>
              </w:rPr>
              <w:t>-лет)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FD8D491" w14:textId="77777777" w:rsidR="007922B1" w:rsidRPr="00020C4A" w:rsidRDefault="007922B1" w:rsidP="00EB5550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20C4A">
              <w:rPr>
                <w:b/>
                <w:bCs/>
                <w:sz w:val="18"/>
                <w:szCs w:val="18"/>
                <w:lang w:eastAsia="ru-RU"/>
              </w:rPr>
              <w:t>Отношение рисков(95% ДИ)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C5FC027" w14:textId="77777777" w:rsidR="007922B1" w:rsidRPr="00020C4A" w:rsidRDefault="007922B1" w:rsidP="00EB5550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20C4A">
              <w:rPr>
                <w:b/>
                <w:bCs/>
                <w:sz w:val="18"/>
                <w:szCs w:val="18"/>
                <w:lang w:eastAsia="ru-RU"/>
              </w:rPr>
              <w:t>Значение p</w:t>
            </w:r>
          </w:p>
        </w:tc>
      </w:tr>
      <w:tr w:rsidR="007922B1" w:rsidRPr="00020C4A" w14:paraId="4F3CC08E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E7990A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Большое кровотечение</w:t>
            </w:r>
            <w:r w:rsidRPr="00020C4A">
              <w:rPr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8B0117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327 (2,13)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599F8A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462 (3,09)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EE558B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0,69 (0,60; 0,80)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F893ED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&lt;0,0001</w:t>
            </w:r>
          </w:p>
        </w:tc>
      </w:tr>
      <w:tr w:rsidR="007922B1" w:rsidRPr="00020C4A" w14:paraId="4B419580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8B3EA9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Внутричерепное кровоизлияние</w:t>
            </w:r>
            <w:r w:rsidRPr="00020C4A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93A947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52 (0,33)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75F7B1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125 (0,82)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503037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0,41(0,30; 0,57)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FA8D6B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2A7FEFD0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E112EB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Геморрагический инсульт</w:t>
            </w:r>
            <w:r w:rsidRPr="00020C4A">
              <w:rPr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43AB6F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38 (0,24)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B8A055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74 (0,49)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8FA90E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0,51 (0,34; 0,75)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F95A24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730D4214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91FCD0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Другие внутричерепные кровоизлияния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408CCC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15 (0,10)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0A3A15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51 (0,34)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0724EC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0,29 (0,16; 0,51)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C458BB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376C1D45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EACFEF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Желудочно-кишечные кровотечения</w:t>
            </w:r>
            <w:r w:rsidRPr="00020C4A">
              <w:rPr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DBD18D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128 (0,83)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A6E361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141 (0,93)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11EB9C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0,89 (0,70; 1,14)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2C8AB9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5C066C4F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9ABBBB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Фатальное кровотечение</w:t>
            </w:r>
            <w:r w:rsidRPr="00020C4A">
              <w:rPr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C4E37B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10 (0,06)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FBD7E6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37 (0,24)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3A7952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0,27 (0,13; 0,53)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F11E18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71FDC60E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D75F23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Внутричерепное кровоизлияние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0DAB1F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 (0,03)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0EA971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30 (0,20)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2B2397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0,13 (0,05; 0,37)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A52B53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57621599" w14:textId="77777777" w:rsidTr="00EB5550">
        <w:tc>
          <w:tcPr>
            <w:tcW w:w="368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FA3FC3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sz w:val="18"/>
                <w:szCs w:val="18"/>
                <w:lang w:eastAsia="ru-RU"/>
              </w:rPr>
              <w:t>Невнутричерепное</w:t>
            </w:r>
            <w:proofErr w:type="spellEnd"/>
            <w:r w:rsidRPr="00020C4A">
              <w:rPr>
                <w:sz w:val="18"/>
                <w:szCs w:val="18"/>
                <w:lang w:eastAsia="ru-RU"/>
              </w:rPr>
              <w:t xml:space="preserve"> кровоизлияние</w:t>
            </w:r>
          </w:p>
        </w:tc>
        <w:tc>
          <w:tcPr>
            <w:tcW w:w="198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10F06C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6 (0,04)</w:t>
            </w:r>
          </w:p>
        </w:tc>
        <w:tc>
          <w:tcPr>
            <w:tcW w:w="198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883900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7 (0,05)</w:t>
            </w:r>
          </w:p>
        </w:tc>
        <w:tc>
          <w:tcPr>
            <w:tcW w:w="1560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A393BE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0,84 (0,28; 2,15)</w:t>
            </w:r>
          </w:p>
        </w:tc>
        <w:tc>
          <w:tcPr>
            <w:tcW w:w="1275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0BCD5C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</w:tbl>
    <w:p w14:paraId="68E37468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* Случаи кровотечения в каждой подкатегории учитывались один раз для каждого пациента, но пациенты могли вносить вклад в события, связанные с несколькими конечными точками. Случаи кровотечения учитывались в течение периода лечения или в течение 2 дней после прекращения терапии в рамках исследования (периода лечения).</w:t>
      </w:r>
    </w:p>
    <w:p w14:paraId="78F5B436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t>1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Определяется как клинически явное кровотечение, сопровождающееся одним или более из следующих признаков: снижение уровня 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Hb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≥2 г/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переливание ≥2 ед. эритроцитарной массы, критическая локализация очага кровотечения: внутричерепное, 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интраспинальное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внутриглазное, в перикардиальную полость, внутрисуставное, внутримышечное с компартмент-синдромом, забрюшинное или с летальным исходом.</w:t>
      </w:r>
    </w:p>
    <w:p w14:paraId="050F742E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t>2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Внутричерепное кровоизлияние включает внутримозговое, 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внутрижелудочковое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субдуральное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субарахноидальное кровоизлияние. Любой тип геморрагического инсульта определялся и учитывался как большое внутричерепное кровоизлияние.</w:t>
      </w:r>
    </w:p>
    <w:p w14:paraId="3CE8C63A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t>3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Анализ данных периода лечения основан на данных выборки для оценки безопасности, по сравнению с анализом данных выборки по назначенному лечению, представленном в разделе </w:t>
      </w:r>
      <w:r w:rsidRPr="007C7135">
        <w:rPr>
          <w:rFonts w:ascii="Arial" w:eastAsia="Times New Roman" w:hAnsi="Arial" w:cs="Arial"/>
          <w:b/>
          <w:bCs/>
          <w:i/>
          <w:iCs/>
          <w:color w:val="333333"/>
          <w:sz w:val="14"/>
          <w:szCs w:val="14"/>
          <w:lang w:eastAsia="ru-RU"/>
        </w:rPr>
        <w:t>Клинические исследования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14:paraId="49097DC8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lastRenderedPageBreak/>
        <w:t>4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Желудочно-кишечное кровотечение включает кровотечение из верхних отделов ЖКТ, нижних отделов ЖКТ и кровотечение из прямой кишки.</w:t>
      </w:r>
    </w:p>
    <w:p w14:paraId="0C2B2BEA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t>5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Фатальное кровотечение — это констатированная смерть, основной причиной которой было внутричерепное кровоизлияние или 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невнутричерепное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кровоизлияние в течение периода лечения.</w:t>
      </w:r>
    </w:p>
    <w:p w14:paraId="6F4063B5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14:paraId="143DFD55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Случаи кровотечения у пациентов с неклапанной фибрилляцией предсердий в исследовании AVERROES</w:t>
      </w:r>
    </w:p>
    <w:tbl>
      <w:tblPr>
        <w:tblW w:w="5243" w:type="pct"/>
        <w:tblInd w:w="-434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2136"/>
        <w:gridCol w:w="2577"/>
        <w:gridCol w:w="1694"/>
        <w:gridCol w:w="1209"/>
      </w:tblGrid>
      <w:tr w:rsidR="007922B1" w:rsidRPr="00020C4A" w14:paraId="1C80E442" w14:textId="77777777" w:rsidTr="00EB5550">
        <w:tc>
          <w:tcPr>
            <w:tcW w:w="138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92C72FB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Случаи кровотечения</w:t>
            </w:r>
          </w:p>
        </w:tc>
        <w:tc>
          <w:tcPr>
            <w:tcW w:w="10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943DD81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(N=2798), n (%/год)</w:t>
            </w:r>
          </w:p>
        </w:tc>
        <w:tc>
          <w:tcPr>
            <w:tcW w:w="12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B955AEE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Ацетилсалициловая кислота (N=2780), n (%/год)</w:t>
            </w:r>
          </w:p>
        </w:tc>
        <w:tc>
          <w:tcPr>
            <w:tcW w:w="80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BCE37BA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Отношение рисков (95% ДИ)</w:t>
            </w:r>
          </w:p>
        </w:tc>
        <w:tc>
          <w:tcPr>
            <w:tcW w:w="57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13C9730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Значение p</w:t>
            </w:r>
          </w:p>
        </w:tc>
      </w:tr>
      <w:tr w:rsidR="007922B1" w:rsidRPr="00020C4A" w14:paraId="597C5AE6" w14:textId="77777777" w:rsidTr="00EB5550">
        <w:tc>
          <w:tcPr>
            <w:tcW w:w="138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7C166F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Большое кровотечение</w:t>
            </w:r>
          </w:p>
        </w:tc>
        <w:tc>
          <w:tcPr>
            <w:tcW w:w="10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1979A9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45 (1,41)</w:t>
            </w:r>
          </w:p>
        </w:tc>
        <w:tc>
          <w:tcPr>
            <w:tcW w:w="12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011BD8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29 (0,92)</w:t>
            </w:r>
          </w:p>
        </w:tc>
        <w:tc>
          <w:tcPr>
            <w:tcW w:w="80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3A028C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1,54 (0,96; 2,45)</w:t>
            </w:r>
          </w:p>
        </w:tc>
        <w:tc>
          <w:tcPr>
            <w:tcW w:w="57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2491A2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0,07</w:t>
            </w:r>
          </w:p>
        </w:tc>
      </w:tr>
      <w:tr w:rsidR="007922B1" w:rsidRPr="00020C4A" w14:paraId="75C88DE0" w14:textId="77777777" w:rsidTr="00EB5550">
        <w:tc>
          <w:tcPr>
            <w:tcW w:w="138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2B80D8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Фатальное кровотечение</w:t>
            </w:r>
          </w:p>
        </w:tc>
        <w:tc>
          <w:tcPr>
            <w:tcW w:w="10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9EB19E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 (0,16)</w:t>
            </w:r>
          </w:p>
        </w:tc>
        <w:tc>
          <w:tcPr>
            <w:tcW w:w="12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B4D9F6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 (0,16)</w:t>
            </w:r>
          </w:p>
        </w:tc>
        <w:tc>
          <w:tcPr>
            <w:tcW w:w="80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BE97FF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0,99 (0,23; 4,29)</w:t>
            </w:r>
          </w:p>
        </w:tc>
        <w:tc>
          <w:tcPr>
            <w:tcW w:w="57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7DE49F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6F2F21C7" w14:textId="77777777" w:rsidTr="00EB5550">
        <w:tc>
          <w:tcPr>
            <w:tcW w:w="138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9F7C1F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Внутричерепное кровоизлияние</w:t>
            </w:r>
          </w:p>
        </w:tc>
        <w:tc>
          <w:tcPr>
            <w:tcW w:w="10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0D8D05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11 (0,34)</w:t>
            </w:r>
          </w:p>
        </w:tc>
        <w:tc>
          <w:tcPr>
            <w:tcW w:w="12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8BC4DA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11 (0,35)</w:t>
            </w:r>
          </w:p>
        </w:tc>
        <w:tc>
          <w:tcPr>
            <w:tcW w:w="80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AFBC92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0,99 (0,39; 2,51)</w:t>
            </w:r>
          </w:p>
        </w:tc>
        <w:tc>
          <w:tcPr>
            <w:tcW w:w="57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8617E1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</w:tbl>
    <w:p w14:paraId="7E2FBEEF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События, связанные с каждой конечной точкой, учитывались по одному на каждого пациента, но пациенты могли вносить вклад в события, связанные с несколькими конечными точками.</w:t>
      </w:r>
    </w:p>
    <w:p w14:paraId="08BCC98B" w14:textId="77777777" w:rsidR="007922B1" w:rsidRPr="0043124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124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Другие побочные эффекты</w:t>
      </w:r>
    </w:p>
    <w:p w14:paraId="4D8C9091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реакциях гиперчувствительности (включая лекарственную гиперчувствительность, такую как кожная сыпь, и анафилактические реакции, такие как аллергический отек) и обмороках сообщалось у &lt;1% 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492F7EC" w14:textId="77777777" w:rsidR="007922B1" w:rsidRPr="0043124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124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Профилактика ТГВ после операции по эндопротезированию тазобедренного или коленного сустава</w:t>
      </w:r>
    </w:p>
    <w:p w14:paraId="353DEC21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Безопасность применения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оценивали в ходе 1 исследования II фазы и 3 исследований III фазы с участием 5924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дозе 2,5 мг 2 раза/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перенесших обширное ортопедическое хирургическое вмешательство на нижних конечностях (плановая операция по эндопротезированию тазобедренного или коленного сустава), продолжительность периода лечение которых составляла до 38 дней.</w:t>
      </w:r>
    </w:p>
    <w:p w14:paraId="23988E33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общей сложности у 11%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дозе 2,5 мг 2 раза/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наблюдались побочные эффекты.</w:t>
      </w:r>
    </w:p>
    <w:p w14:paraId="2E93F6B2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по кровотечениям, наблюдавшимся в период лечения в исследованиях III фазы, представлены в таблице. Кровотечения оценивались в каждом исследовании, начиная с момента приема первой дозы ДВ в двойном слепом режиме лечения в рамках исследования.</w:t>
      </w:r>
    </w:p>
    <w:p w14:paraId="7D6BDF08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14:paraId="2E5823FA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Кровотечения, наблюдавшиеся в период лечения у пациентов, перенесших плановую операцию по эндопротезированию тазобедренного или коленного сустава</w:t>
      </w:r>
    </w:p>
    <w:tbl>
      <w:tblPr>
        <w:tblW w:w="5460" w:type="pct"/>
        <w:tblInd w:w="-534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1678"/>
        <w:gridCol w:w="1615"/>
        <w:gridCol w:w="1351"/>
        <w:gridCol w:w="1408"/>
        <w:gridCol w:w="1351"/>
        <w:gridCol w:w="1434"/>
      </w:tblGrid>
      <w:tr w:rsidR="007922B1" w:rsidRPr="00020C4A" w14:paraId="05C034F1" w14:textId="77777777" w:rsidTr="00EB5550">
        <w:tc>
          <w:tcPr>
            <w:tcW w:w="973" w:type="pct"/>
            <w:vMerge w:val="restar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6690138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Конечная точка (кровотечения)*</w:t>
            </w:r>
          </w:p>
        </w:tc>
        <w:tc>
          <w:tcPr>
            <w:tcW w:w="1501" w:type="pct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5607B31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Исследование </w:t>
            </w:r>
            <w:r w:rsidRPr="00020C4A">
              <w:rPr>
                <w:b/>
                <w:i/>
                <w:iCs/>
                <w:sz w:val="18"/>
                <w:szCs w:val="18"/>
                <w:lang w:eastAsia="ru-RU"/>
              </w:rPr>
              <w:t>ADVANCE-3</w:t>
            </w:r>
            <w:r w:rsidRPr="00020C4A">
              <w:rPr>
                <w:b/>
                <w:i/>
                <w:iCs/>
                <w:sz w:val="18"/>
                <w:szCs w:val="18"/>
                <w:lang w:eastAsia="ru-RU"/>
              </w:rPr>
              <w:br/>
            </w:r>
            <w:r w:rsidRPr="00020C4A">
              <w:rPr>
                <w:b/>
                <w:sz w:val="18"/>
                <w:szCs w:val="18"/>
                <w:lang w:eastAsia="ru-RU"/>
              </w:rPr>
              <w:t>Эндопротезирование тазобедренного сустава</w:t>
            </w:r>
          </w:p>
        </w:tc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162C2F7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Исследование </w:t>
            </w:r>
            <w:r w:rsidRPr="00020C4A">
              <w:rPr>
                <w:b/>
                <w:i/>
                <w:iCs/>
                <w:sz w:val="18"/>
                <w:szCs w:val="18"/>
                <w:lang w:eastAsia="ru-RU"/>
              </w:rPr>
              <w:t>ADVANCE-2</w:t>
            </w:r>
            <w:r w:rsidRPr="00020C4A">
              <w:rPr>
                <w:b/>
                <w:i/>
                <w:iCs/>
                <w:sz w:val="18"/>
                <w:szCs w:val="18"/>
                <w:lang w:eastAsia="ru-RU"/>
              </w:rPr>
              <w:br/>
            </w:r>
            <w:r w:rsidRPr="00020C4A">
              <w:rPr>
                <w:b/>
                <w:sz w:val="18"/>
                <w:szCs w:val="18"/>
                <w:lang w:eastAsia="ru-RU"/>
              </w:rPr>
              <w:t>Эндопротезирование коленного сустава</w:t>
            </w:r>
          </w:p>
        </w:tc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4DE7877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Исследование </w:t>
            </w:r>
            <w:r w:rsidRPr="00020C4A">
              <w:rPr>
                <w:b/>
                <w:i/>
                <w:iCs/>
                <w:sz w:val="18"/>
                <w:szCs w:val="18"/>
                <w:lang w:eastAsia="ru-RU"/>
              </w:rPr>
              <w:t>ADVANCE-1</w:t>
            </w:r>
            <w:r w:rsidRPr="00020C4A">
              <w:rPr>
                <w:b/>
                <w:sz w:val="18"/>
                <w:szCs w:val="18"/>
                <w:lang w:eastAsia="ru-RU"/>
              </w:rPr>
              <w:br/>
              <w:t>Эндопротезирование коленного сустава</w:t>
            </w:r>
          </w:p>
        </w:tc>
      </w:tr>
      <w:tr w:rsidR="007922B1" w:rsidRPr="00020C4A" w14:paraId="33ED6A9D" w14:textId="77777777" w:rsidTr="00EB5550">
        <w:tc>
          <w:tcPr>
            <w:tcW w:w="973" w:type="pct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9BBAE82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0228A77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2,5 мг, перорально 2 раза/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в течение (35±3) дней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826DDE1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Эноксапарин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40 мг, п/к 1 раз/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в течение (35±3) дней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61AFB40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2,5 мг, перорально 2 раза/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в течение (12±2) дней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4257920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Эноксапарин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40 мг, п/к 1 раз/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в течение (12±2) дней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CA4A747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2,5 мг, перорально 2 раза/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в течение (12±2) дней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3B222CA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Эноксапарин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30 мг, п/к каждые 12 ч, в течение (12±2) дней</w:t>
            </w:r>
          </w:p>
        </w:tc>
      </w:tr>
      <w:tr w:rsidR="007922B1" w:rsidRPr="00020C4A" w14:paraId="7BA73644" w14:textId="77777777" w:rsidTr="00EB5550">
        <w:tc>
          <w:tcPr>
            <w:tcW w:w="973" w:type="pct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61FCA9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CAC26F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Прием 1-й дозы через 12–24 ч после операции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35F0A2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Введение 1-й дозы за 9–15 ч до операции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016285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Прием 1-й дозы через 12–24 ч после операции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D16F3F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Введение 1-й дозы за 9–15 ч до операции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49A1A7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Прием 1-й дозы через 12–24 ч после операции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6F5B82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Введение 1-й дозы через 12–24 ч после операции</w:t>
            </w:r>
          </w:p>
        </w:tc>
      </w:tr>
      <w:tr w:rsidR="007922B1" w:rsidRPr="00020C4A" w14:paraId="10D084D4" w14:textId="77777777" w:rsidTr="00EB5550">
        <w:tc>
          <w:tcPr>
            <w:tcW w:w="97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8D9B71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Все пациенты, получившие лечение</w:t>
            </w: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351552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N=2673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23C9FA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N=2659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AC64F8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N=1501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4E65AF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N=1508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43C9D0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N=1596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4620E6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N=1588</w:t>
            </w:r>
          </w:p>
        </w:tc>
      </w:tr>
      <w:tr w:rsidR="007922B1" w:rsidRPr="00020C4A" w14:paraId="728C58D2" w14:textId="77777777" w:rsidTr="00EB5550">
        <w:tc>
          <w:tcPr>
            <w:tcW w:w="97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A847DF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Большое кровотечение (включая область хирургического вмешательства)</w:t>
            </w: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7E0B15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22 (0,82%)</w:t>
            </w:r>
            <w:r w:rsidRPr="00020C4A">
              <w:rPr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1FF225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18 (0,68%)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3D4C94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 (0,60%)</w:t>
            </w:r>
            <w:r w:rsidRPr="00020C4A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53B988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14 (0,93%)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A57D2D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11 (0,69%)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640E48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22 (1,39%)</w:t>
            </w:r>
          </w:p>
        </w:tc>
      </w:tr>
      <w:tr w:rsidR="007922B1" w:rsidRPr="00020C4A" w14:paraId="073E0084" w14:textId="77777777" w:rsidTr="00EB5550">
        <w:tc>
          <w:tcPr>
            <w:tcW w:w="97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D38769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Фатальное кровотечение</w:t>
            </w: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A2938F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A7B66F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B293E7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84EFC7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937CD1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CC3311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 (0,06%)</w:t>
            </w:r>
          </w:p>
        </w:tc>
      </w:tr>
      <w:tr w:rsidR="007922B1" w:rsidRPr="00020C4A" w14:paraId="5369791C" w14:textId="77777777" w:rsidTr="00EB5550">
        <w:tc>
          <w:tcPr>
            <w:tcW w:w="97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0A6894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 xml:space="preserve">Снижение уровня </w:t>
            </w:r>
            <w:proofErr w:type="spellStart"/>
            <w:r w:rsidRPr="00020C4A">
              <w:rPr>
                <w:sz w:val="18"/>
                <w:szCs w:val="18"/>
                <w:lang w:eastAsia="ru-RU"/>
              </w:rPr>
              <w:t>Hb</w:t>
            </w:r>
            <w:proofErr w:type="spellEnd"/>
            <w:r w:rsidRPr="00020C4A">
              <w:rPr>
                <w:sz w:val="18"/>
                <w:szCs w:val="18"/>
                <w:lang w:eastAsia="ru-RU"/>
              </w:rPr>
              <w:t> ≥2 г/</w:t>
            </w:r>
            <w:proofErr w:type="spellStart"/>
            <w:r w:rsidRPr="00020C4A">
              <w:rPr>
                <w:sz w:val="18"/>
                <w:szCs w:val="18"/>
                <w:lang w:eastAsia="ru-RU"/>
              </w:rPr>
              <w:t>дл</w:t>
            </w:r>
            <w:proofErr w:type="spellEnd"/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FEDC4B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13 (0,49%)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FA0321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10 (0,38%)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FAE6A2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8 (0,53%)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12A62A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 (0,60%)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217ABB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10 (0,63%)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12429E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16 (1,01%)</w:t>
            </w:r>
          </w:p>
        </w:tc>
      </w:tr>
      <w:tr w:rsidR="007922B1" w:rsidRPr="00020C4A" w14:paraId="5E1DFDAC" w14:textId="77777777" w:rsidTr="00EB5550">
        <w:tc>
          <w:tcPr>
            <w:tcW w:w="97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058055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Переливание ≥2 ед. эритроцитарной массы</w:t>
            </w: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BD25A4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16 (0,60%)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FDD8CE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14 (0,53%)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172C46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 (0,33%)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AE622B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 (0,60%)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9CE011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 (0,56%)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F0CEE4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18 (1,13%)</w:t>
            </w:r>
          </w:p>
        </w:tc>
      </w:tr>
      <w:tr w:rsidR="007922B1" w:rsidRPr="00020C4A" w14:paraId="211F591A" w14:textId="77777777" w:rsidTr="00EB5550">
        <w:tc>
          <w:tcPr>
            <w:tcW w:w="97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F998E4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Критическая локализация очага кровотечения</w:t>
            </w:r>
            <w:r w:rsidRPr="00020C4A">
              <w:rPr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0F3BE4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 (0,04%)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1D7F2D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 (0,04%)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48B6F9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 (0,07%)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445625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 (0,13%)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4D986E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 (0,06%)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81A399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 (0,25%)</w:t>
            </w:r>
          </w:p>
        </w:tc>
      </w:tr>
      <w:tr w:rsidR="007922B1" w:rsidRPr="00020C4A" w14:paraId="50CE9AD4" w14:textId="77777777" w:rsidTr="00EB5550">
        <w:tc>
          <w:tcPr>
            <w:tcW w:w="97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AAA03C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Большое кровотечение + клинически значимое небольшое кровотечение</w:t>
            </w: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760A2A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129 (4,83%)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14C5F3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134 (5,04%)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9EEBC7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53 (3,53%)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6C207F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72 (4,77%)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CB9430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46 (2,88%)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A4E819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68 (4,28%)</w:t>
            </w:r>
          </w:p>
        </w:tc>
      </w:tr>
      <w:tr w:rsidR="007922B1" w:rsidRPr="00020C4A" w14:paraId="29D4663A" w14:textId="77777777" w:rsidTr="00EB5550">
        <w:tc>
          <w:tcPr>
            <w:tcW w:w="97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116A57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Все кровотечения</w:t>
            </w:r>
          </w:p>
        </w:tc>
        <w:tc>
          <w:tcPr>
            <w:tcW w:w="76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CD66FA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313 (11,71%)</w:t>
            </w:r>
          </w:p>
        </w:tc>
        <w:tc>
          <w:tcPr>
            <w:tcW w:w="7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986B7C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334 (12,56%)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0444FA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104 (6,93%)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7B008F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126 (8,36%)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754C30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85 (5,33%)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9CA881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108 (6,80%)</w:t>
            </w:r>
          </w:p>
        </w:tc>
      </w:tr>
    </w:tbl>
    <w:p w14:paraId="5462808F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* Все критерии оценки кровотечения включали кровотечение в области хирургического вмешательства.</w:t>
      </w:r>
    </w:p>
    <w:p w14:paraId="61EABE58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t>1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Включает 13 пациентов со случаями большого кровотечения, которое произошло до приема 1-й дозы 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апиксабана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(принимаемой через 12–24 ч после операции).</w:t>
      </w:r>
    </w:p>
    <w:p w14:paraId="0595325B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t>2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Включает 5 пациентов со случаями большого кровотечения, которое произошло до приема 1-й дозы 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апиксабана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(принимаемой через 12–24 ч после операции).</w:t>
      </w:r>
    </w:p>
    <w:p w14:paraId="47B96E40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t>3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Включает внутричерепное, 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интраспинальное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внутриглазное, в перикардиальную полость, оперированный сустав (потребовавшее повторной хирургической операции или вмешательства), внутримышечное с компартмент-синдромом или забрюшинное кровотечение. Кровотечение в оперированный сустав, потребовавшее повторной хирургической операции или вмешательства, наблюдалось у всех пациентов с этой категорией кровотечения. События и показатели событий включают 1 пациента, получавшего </w:t>
      </w:r>
      <w:proofErr w:type="spellStart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эноксапарин</w:t>
      </w:r>
      <w:proofErr w:type="spellEnd"/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ходе исследования </w:t>
      </w:r>
      <w:r w:rsidRPr="007C7135">
        <w:rPr>
          <w:rFonts w:ascii="Arial" w:eastAsia="Times New Roman" w:hAnsi="Arial" w:cs="Arial"/>
          <w:i/>
          <w:iCs/>
          <w:color w:val="333333"/>
          <w:sz w:val="14"/>
          <w:szCs w:val="14"/>
          <w:lang w:eastAsia="ru-RU"/>
        </w:rPr>
        <w:t>ADVANCE-1,</w:t>
      </w: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у которого также было внутричерепное кровоизлияние.</w:t>
      </w:r>
    </w:p>
    <w:p w14:paraId="2FC77900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Побочные эффекты, наблюдавшиеся у ≥1% пациентов, перенесших операцию по эндопротезированию тазобедренного или коленного сустава в ходе 1-го исследования II фазы и 3 исследований III фазы, перечислены в таблице.</w:t>
      </w:r>
    </w:p>
    <w:p w14:paraId="1279B01F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14:paraId="616654CD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Побочные эффекты, наблюдавшиеся у ≥1% пациентов в каждой из групп лечения, перенесших операцию по эндопротезированию тазобедренного или коленного сустава</w:t>
      </w:r>
    </w:p>
    <w:tbl>
      <w:tblPr>
        <w:tblW w:w="5178" w:type="pct"/>
        <w:tblInd w:w="-292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2493"/>
        <w:gridCol w:w="2530"/>
      </w:tblGrid>
      <w:tr w:rsidR="007922B1" w:rsidRPr="00020C4A" w14:paraId="25612E69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DD01783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Побочные эффекты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322CAAB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 n (%), 2,5 мг перорально 2 раза/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 N=5924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8C5BFF1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Эноксапарин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 n (%), 40 мг п/к 1 раз/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 </w:t>
            </w:r>
            <w:r w:rsidRPr="00020C4A">
              <w:rPr>
                <w:b/>
                <w:i/>
                <w:iCs/>
                <w:sz w:val="18"/>
                <w:szCs w:val="18"/>
                <w:lang w:eastAsia="ru-RU"/>
              </w:rPr>
              <w:t>или</w:t>
            </w:r>
            <w:r w:rsidRPr="00020C4A">
              <w:rPr>
                <w:b/>
                <w:sz w:val="18"/>
                <w:szCs w:val="18"/>
                <w:lang w:eastAsia="ru-RU"/>
              </w:rPr>
              <w:t> 30 мг п/к каждые 12 ч, N=5904</w:t>
            </w:r>
          </w:p>
        </w:tc>
      </w:tr>
      <w:tr w:rsidR="007922B1" w:rsidRPr="00020C4A" w14:paraId="7BDF80BC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C3E2BE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Тошнота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8278B9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153 (2,6)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022388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159 (2,7)</w:t>
            </w:r>
          </w:p>
        </w:tc>
      </w:tr>
      <w:tr w:rsidR="007922B1" w:rsidRPr="00020C4A" w14:paraId="2E907BE2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85AA98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Анемия (включая послеоперационную и геморрагическую анемию и соответствующие лабораторные показатели)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925816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153 (2,6)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EE2D19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178 (3,0)</w:t>
            </w:r>
          </w:p>
        </w:tc>
      </w:tr>
      <w:tr w:rsidR="007922B1" w:rsidRPr="00020C4A" w14:paraId="45406F02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7ED4CA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Контузия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5A20A9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83 (1,4)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47E1D8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115 (1,9)</w:t>
            </w:r>
          </w:p>
        </w:tc>
      </w:tr>
      <w:tr w:rsidR="007922B1" w:rsidRPr="00020C4A" w14:paraId="62962912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3EF6FD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Кровотечение (включая гематомы, вагинальные и уретральные кровотечения)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3A1D22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67 (1,1)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20846F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81 (1,4)</w:t>
            </w:r>
          </w:p>
        </w:tc>
      </w:tr>
      <w:tr w:rsidR="007922B1" w:rsidRPr="00020C4A" w14:paraId="06A3154D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5B2871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sz w:val="18"/>
                <w:szCs w:val="18"/>
                <w:lang w:eastAsia="ru-RU"/>
              </w:rPr>
              <w:t>Постпроцедурное</w:t>
            </w:r>
            <w:proofErr w:type="spellEnd"/>
            <w:r w:rsidRPr="00020C4A">
              <w:rPr>
                <w:sz w:val="18"/>
                <w:szCs w:val="18"/>
                <w:lang w:eastAsia="ru-RU"/>
              </w:rPr>
              <w:t xml:space="preserve"> кровотечение (включая </w:t>
            </w:r>
            <w:proofErr w:type="spellStart"/>
            <w:r w:rsidRPr="00020C4A">
              <w:rPr>
                <w:sz w:val="18"/>
                <w:szCs w:val="18"/>
                <w:lang w:eastAsia="ru-RU"/>
              </w:rPr>
              <w:t>постпроцедурную</w:t>
            </w:r>
            <w:proofErr w:type="spellEnd"/>
            <w:r w:rsidRPr="00020C4A">
              <w:rPr>
                <w:sz w:val="18"/>
                <w:szCs w:val="18"/>
                <w:lang w:eastAsia="ru-RU"/>
              </w:rPr>
              <w:t xml:space="preserve"> гематому, раневое кровотечение, гематому в месте прокола сосуда и кровотечение в месте установки катетера)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CF6026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54 (0,9)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4C7235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60 (1,0)</w:t>
            </w:r>
          </w:p>
        </w:tc>
      </w:tr>
      <w:tr w:rsidR="007922B1" w:rsidRPr="00020C4A" w14:paraId="13D24D11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974DEE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Повышение уровня трансаминаз (включая повышение и отклонение от нормы уровня АЛТ)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397F2A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50 (0,8)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745978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71 (1,2)</w:t>
            </w:r>
          </w:p>
        </w:tc>
      </w:tr>
      <w:tr w:rsidR="007922B1" w:rsidRPr="00020C4A" w14:paraId="0809F775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5E33BC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Повышение уровня АСТ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979EAE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47 (0,8)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535B26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69 (1,2)</w:t>
            </w:r>
          </w:p>
        </w:tc>
      </w:tr>
      <w:tr w:rsidR="007922B1" w:rsidRPr="00020C4A" w14:paraId="5DC29DB5" w14:textId="77777777" w:rsidTr="00EB5550">
        <w:tc>
          <w:tcPr>
            <w:tcW w:w="258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166F56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Повышение уровня ГГТ</w:t>
            </w:r>
          </w:p>
        </w:tc>
        <w:tc>
          <w:tcPr>
            <w:tcW w:w="119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5E16F9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38 (0,6)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482174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65 (1,1)</w:t>
            </w:r>
          </w:p>
        </w:tc>
      </w:tr>
    </w:tbl>
    <w:p w14:paraId="0E291015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Ниже приведены менее частые побочные эффекты у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перенесших операцию по эндопротезированию тазобедренного или коленного сустава, наблюдавшиеся с частотой от ≥0,1% до &lt;1%.</w:t>
      </w:r>
    </w:p>
    <w:p w14:paraId="585ABB9C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крови и лимфатической системы: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тромбоцитопения (включая снижение количества тромбоцитов).</w:t>
      </w:r>
    </w:p>
    <w:p w14:paraId="2BDC428A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сосудов: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артериальная гипотензия (включая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интраоперационную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гипотензию).</w:t>
      </w:r>
    </w:p>
    <w:p w14:paraId="3BF16D11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дыхательной системы, грудной клетки и средостения: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носовое кровотечение.</w:t>
      </w:r>
    </w:p>
    <w:p w14:paraId="37F20336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ЖКТ: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желудочно-кишечное кровотечение (включая кровавую рвоту и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мелену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гематохезия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A7206E2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печени и желчевыводящих путей: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от нормы биохимических показателей функции печени, повышение уровня ЩФ в крови, повышение уровня билирубина в крови.</w:t>
      </w:r>
    </w:p>
    <w:p w14:paraId="637EE4E4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lastRenderedPageBreak/>
        <w:t>Со стороны почек и мочевыводящих путей: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гематурия (включая соответствующие лабораторные показатели).</w:t>
      </w:r>
    </w:p>
    <w:p w14:paraId="161FE209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Травмы, интоксикации и осложнения манипуляций: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выделения из раны, кровотечение в месте разреза (включая гематому в месте разреза), операционное кровотечение.</w:t>
      </w:r>
    </w:p>
    <w:p w14:paraId="602F39A0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Менее частые побочные эффекты у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перенесших операцию по эндопротезированию тазобедренного или коленного сустава, наблюдавшиеся с частотой &lt;0,1%: кровоточивость десен, кровохарканье, повышенная чувствительность, кровоизлияние в мышцы, внутриглазное кровоизлияние (включая кровоизлияние в конъюнктиву), кровотечение из прямой кишки.</w:t>
      </w:r>
    </w:p>
    <w:p w14:paraId="0EC29E79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Лечение ТГВ и легочной эмболии и снижение риска возникновения рецидива ТГВ или легочной эмболии</w:t>
      </w:r>
    </w:p>
    <w:p w14:paraId="5B463849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Безопасность применения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оценивали в ходе исследований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AMPLIFY-EXT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участием 2676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дозе 10 мг 2 раза/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3359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дозе 5 мг 2 раза/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840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дозе 2,5 мг 2 раза/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FEA286E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Частыми побочными эффектами (≥1%) были кровоточивость десен, носовое кровотечение, контузия, гематурия, кровотечение из прямой кишки, гематома,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меноррагия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кровохарканье.</w:t>
      </w:r>
    </w:p>
    <w:p w14:paraId="451DCA9E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Исследование AMPLIFY.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исследования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средняя продолжительность воздействия для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составляла 154 дня, а для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эноксапарина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/варфарина — 152 дня. Побочные эффекты, связанные с кровотечением, наблюдались у 417 (15,6%) пациентов, получавших терапию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апиксабаном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сравнению с 661 (24,6%) пациентом, получавшим терапию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эноксапарином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/варфарином. В ходе исследования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частота прекращения терапии вследствие возникновения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кровотечений составляла 0,7% среди пациентов, получавших терапию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апиксабаном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сравнению с 1,7% среди пациентов, получавших терапию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эноксапарином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/варфарином.</w:t>
      </w:r>
    </w:p>
    <w:p w14:paraId="22F2F441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исследовании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терапия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апиксабаном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статистически достоверно превосходила терапию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эноксапарином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/варфарином по показателям первичной конечной точки безопасности — большому кровотечению (ОР 0,31; 95% ДИ: 0,17; 0,55; р&lt;0,0001).</w:t>
      </w:r>
    </w:p>
    <w:p w14:paraId="5D9127D2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Обобщенные данные по кровотечениям, полученные в ходе исследования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приведены в таблице.</w:t>
      </w:r>
    </w:p>
    <w:p w14:paraId="24B184B3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14:paraId="493C7F99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Данные по кровотечениям в исследовании </w:t>
      </w: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AMPLIFY</w:t>
      </w:r>
    </w:p>
    <w:tbl>
      <w:tblPr>
        <w:tblW w:w="5178" w:type="pct"/>
        <w:tblInd w:w="-292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2312"/>
        <w:gridCol w:w="2193"/>
        <w:gridCol w:w="1363"/>
      </w:tblGrid>
      <w:tr w:rsidR="007922B1" w:rsidRPr="00020C4A" w14:paraId="5427E011" w14:textId="77777777" w:rsidTr="00EB5550">
        <w:tc>
          <w:tcPr>
            <w:tcW w:w="2180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0F7EFBE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lastRenderedPageBreak/>
              <w:t>Случаи кровотечения</w:t>
            </w:r>
          </w:p>
        </w:tc>
        <w:tc>
          <w:tcPr>
            <w:tcW w:w="111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2B519BA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(N=2676), n (%)</w:t>
            </w:r>
          </w:p>
        </w:tc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8A8B5E8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Эноксапарин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/варфарин (N=2689), n (%)</w:t>
            </w:r>
          </w:p>
        </w:tc>
        <w:tc>
          <w:tcPr>
            <w:tcW w:w="65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B576E1C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ОР (95% ДИ)</w:t>
            </w:r>
          </w:p>
        </w:tc>
      </w:tr>
      <w:tr w:rsidR="007922B1" w:rsidRPr="00020C4A" w14:paraId="2BF5A12A" w14:textId="77777777" w:rsidTr="00EB5550">
        <w:tc>
          <w:tcPr>
            <w:tcW w:w="2180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8CBD95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Большое кровотечение</w:t>
            </w:r>
          </w:p>
        </w:tc>
        <w:tc>
          <w:tcPr>
            <w:tcW w:w="111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F5DF7C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15 (0,6)</w:t>
            </w:r>
          </w:p>
        </w:tc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2F6B1C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49 (1,8)</w:t>
            </w:r>
          </w:p>
        </w:tc>
        <w:tc>
          <w:tcPr>
            <w:tcW w:w="65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D100DF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0,31 (0,17; 0,55) p&lt;0,0001</w:t>
            </w:r>
          </w:p>
        </w:tc>
      </w:tr>
      <w:tr w:rsidR="007922B1" w:rsidRPr="00020C4A" w14:paraId="53E07749" w14:textId="77777777" w:rsidTr="00EB5550">
        <w:tc>
          <w:tcPr>
            <w:tcW w:w="2180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934A49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Клинически значимое небольшое кровотечение</w:t>
            </w:r>
          </w:p>
        </w:tc>
        <w:tc>
          <w:tcPr>
            <w:tcW w:w="111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39A467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103 (3,9)</w:t>
            </w:r>
          </w:p>
        </w:tc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08EEDE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215 (8,0)</w:t>
            </w:r>
          </w:p>
        </w:tc>
        <w:tc>
          <w:tcPr>
            <w:tcW w:w="65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64944C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2738AE93" w14:textId="77777777" w:rsidTr="00EB5550">
        <w:tc>
          <w:tcPr>
            <w:tcW w:w="2180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54D020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Большое кровотечение + клинически значимое небольшое кровотечение</w:t>
            </w:r>
          </w:p>
        </w:tc>
        <w:tc>
          <w:tcPr>
            <w:tcW w:w="111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654F1C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115 (4,3)</w:t>
            </w:r>
          </w:p>
        </w:tc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3CC7AE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261 (9,7)</w:t>
            </w:r>
          </w:p>
        </w:tc>
        <w:tc>
          <w:tcPr>
            <w:tcW w:w="65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6946D7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72156DC0" w14:textId="77777777" w:rsidTr="00EB5550">
        <w:tc>
          <w:tcPr>
            <w:tcW w:w="2180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48DFB4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Малое кровотечение</w:t>
            </w:r>
          </w:p>
        </w:tc>
        <w:tc>
          <w:tcPr>
            <w:tcW w:w="111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5EE477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313 (11,7)</w:t>
            </w:r>
          </w:p>
        </w:tc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137495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505 (18,8)</w:t>
            </w:r>
          </w:p>
        </w:tc>
        <w:tc>
          <w:tcPr>
            <w:tcW w:w="65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105442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  <w:tr w:rsidR="007922B1" w:rsidRPr="00020C4A" w14:paraId="5488FB2C" w14:textId="77777777" w:rsidTr="00EB5550">
        <w:tc>
          <w:tcPr>
            <w:tcW w:w="2180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B20653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Все кровотечения</w:t>
            </w:r>
          </w:p>
        </w:tc>
        <w:tc>
          <w:tcPr>
            <w:tcW w:w="111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4D8FD8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402 (15,0)</w:t>
            </w:r>
          </w:p>
        </w:tc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382DD2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676 (25,1)</w:t>
            </w:r>
          </w:p>
        </w:tc>
        <w:tc>
          <w:tcPr>
            <w:tcW w:w="655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E6A714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 — </w:t>
            </w:r>
          </w:p>
        </w:tc>
      </w:tr>
    </w:tbl>
    <w:p w14:paraId="2618B85A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События, связанные с каждой конечной точкой, учитывались по одному на каждого пациента, но пациенты могли вносить вклад в события, связанные с несколькими конечными точками.</w:t>
      </w:r>
    </w:p>
    <w:p w14:paraId="1D6527B8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Побочные эффекты, наблюдавшиеся у ≥1% пациентов в ходе исследования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перечислены в таблице.</w:t>
      </w:r>
    </w:p>
    <w:p w14:paraId="4CB17B36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14:paraId="4FD09764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Побочные эффекты, наблюдавшиеся у ≥1% пациентов, получавших лечение по поводу ТГВ и легочной эмболии в рамках исследования </w:t>
      </w: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AMPLIFY</w:t>
      </w:r>
    </w:p>
    <w:tbl>
      <w:tblPr>
        <w:tblW w:w="9923" w:type="dxa"/>
        <w:tblInd w:w="-292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2465"/>
        <w:gridCol w:w="3705"/>
      </w:tblGrid>
      <w:tr w:rsidR="007922B1" w:rsidRPr="00020C4A" w14:paraId="59509591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04CA9D4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Побочные эффекты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81BDCF7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 xml:space="preserve"> (N=2676), n (%)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FF8DD5B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Эноксапарин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/варфарин (N=2689), n (%)</w:t>
            </w:r>
          </w:p>
        </w:tc>
      </w:tr>
      <w:tr w:rsidR="007922B1" w:rsidRPr="00020C4A" w14:paraId="1766C879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386CDA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Носовое кровотечение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58BF0F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77 (2,9)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4A8B64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146 (5,4)</w:t>
            </w:r>
          </w:p>
        </w:tc>
      </w:tr>
      <w:tr w:rsidR="007922B1" w:rsidRPr="00020C4A" w14:paraId="05B84E7B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D25804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Контузия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2B7181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49 (1,8)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523B3D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97 (3,6)</w:t>
            </w:r>
          </w:p>
        </w:tc>
      </w:tr>
      <w:tr w:rsidR="007922B1" w:rsidRPr="00020C4A" w14:paraId="271091D7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AA76E5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Гематурия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440FF8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46 (1,7)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C96FA6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102 (3,8)</w:t>
            </w:r>
          </w:p>
        </w:tc>
      </w:tr>
      <w:tr w:rsidR="007922B1" w:rsidRPr="00020C4A" w14:paraId="243C32D8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1B7B1D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sz w:val="18"/>
                <w:szCs w:val="18"/>
                <w:lang w:eastAsia="ru-RU"/>
              </w:rPr>
              <w:t>Меноррагия</w:t>
            </w:r>
            <w:proofErr w:type="spellEnd"/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F2E123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38 (1,4)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57DC00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30 (1,1)</w:t>
            </w:r>
          </w:p>
        </w:tc>
      </w:tr>
      <w:tr w:rsidR="007922B1" w:rsidRPr="00020C4A" w14:paraId="5D384FB6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47756B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Гематома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145B66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35 (1,3)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A73F2D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76 (2,8)</w:t>
            </w:r>
          </w:p>
        </w:tc>
      </w:tr>
      <w:tr w:rsidR="007922B1" w:rsidRPr="00020C4A" w14:paraId="5B13EBCE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456F40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Кровохарканье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6DB79A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32 (1,2)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CD67A0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31 (1,2)</w:t>
            </w:r>
          </w:p>
        </w:tc>
      </w:tr>
      <w:tr w:rsidR="007922B1" w:rsidRPr="00020C4A" w14:paraId="15A9F998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64A1D7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Кровотечение из прямой кишки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4586F9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26 (1,0)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FBCB64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39 (1,5)</w:t>
            </w:r>
          </w:p>
        </w:tc>
      </w:tr>
      <w:tr w:rsidR="007922B1" w:rsidRPr="00020C4A" w14:paraId="7A8984AC" w14:textId="77777777" w:rsidTr="00EB5550">
        <w:tc>
          <w:tcPr>
            <w:tcW w:w="1891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4D9055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Кровоточивость десен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4AF0BF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26 (1,0)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A6AB40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50 (1,9)</w:t>
            </w:r>
          </w:p>
        </w:tc>
      </w:tr>
    </w:tbl>
    <w:p w14:paraId="08B3BEA9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Исследование AMPLIFY-EXT.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ходе исследования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AMPLIFY-EXT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средняя продолжительность воздействия для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составляла примерно 330 дней, а для плацебо — 312 дней. Побочные эффекты, связанные с кровотечением, наблюдались у 219 (13,3%)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сравнению с 72 (8,7%) пациентами, принимавшими плацебо. В ходе исследования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AMPLIFY-EXT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частота прекращения терапии вследствие возникновения кровотечений составляла приблизительно 1% у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сравнению с 0,4% среди пациентов в группе плацебо.</w:t>
      </w:r>
    </w:p>
    <w:p w14:paraId="72A61CC1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Обобщенные данные по кровотечениям, полученные в ходе исследования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AMPLIFY-EXT,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приведены в таблице.</w:t>
      </w:r>
    </w:p>
    <w:p w14:paraId="69A9FD44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Таблица</w:t>
      </w:r>
    </w:p>
    <w:p w14:paraId="3965FBEF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Данные по кровотечениям в исследовании </w:t>
      </w: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AMPLIFY-EXT</w:t>
      </w:r>
    </w:p>
    <w:tbl>
      <w:tblPr>
        <w:tblW w:w="9923" w:type="dxa"/>
        <w:tblInd w:w="-292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2277"/>
        <w:gridCol w:w="1742"/>
        <w:gridCol w:w="1465"/>
      </w:tblGrid>
      <w:tr w:rsidR="007922B1" w:rsidRPr="00020C4A" w14:paraId="5FCFC635" w14:textId="77777777" w:rsidTr="00EB5550">
        <w:tc>
          <w:tcPr>
            <w:tcW w:w="22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87EDEB0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Случаи кровотечения</w:t>
            </w:r>
          </w:p>
        </w:tc>
        <w:tc>
          <w:tcPr>
            <w:tcW w:w="1147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631B7C4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2,5 мг 2 раза/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 xml:space="preserve"> (N=840), n (%)</w:t>
            </w:r>
          </w:p>
        </w:tc>
        <w:tc>
          <w:tcPr>
            <w:tcW w:w="87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C63AC06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5 мг 2 раза/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 xml:space="preserve"> (N=811), n (%)</w:t>
            </w:r>
          </w:p>
        </w:tc>
        <w:tc>
          <w:tcPr>
            <w:tcW w:w="73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6CB4982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Плацебо (N=826), n (%)</w:t>
            </w:r>
          </w:p>
        </w:tc>
      </w:tr>
      <w:tr w:rsidR="007922B1" w:rsidRPr="00020C4A" w14:paraId="4BA01089" w14:textId="77777777" w:rsidTr="00EB5550">
        <w:tc>
          <w:tcPr>
            <w:tcW w:w="22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0F3D21F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Большое кровотечение</w:t>
            </w:r>
          </w:p>
        </w:tc>
        <w:tc>
          <w:tcPr>
            <w:tcW w:w="1147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4D0B432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 (0,2)</w:t>
            </w:r>
          </w:p>
        </w:tc>
        <w:tc>
          <w:tcPr>
            <w:tcW w:w="87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59DC03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 (0,1)</w:t>
            </w:r>
          </w:p>
        </w:tc>
        <w:tc>
          <w:tcPr>
            <w:tcW w:w="73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FE33CC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4 (0,5)</w:t>
            </w:r>
          </w:p>
        </w:tc>
      </w:tr>
      <w:tr w:rsidR="007922B1" w:rsidRPr="00020C4A" w14:paraId="0873938E" w14:textId="77777777" w:rsidTr="00EB5550">
        <w:tc>
          <w:tcPr>
            <w:tcW w:w="22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6A73B0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Клинически значимое небольшое кровотечение</w:t>
            </w:r>
          </w:p>
        </w:tc>
        <w:tc>
          <w:tcPr>
            <w:tcW w:w="1147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8912F0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25 (3,0)</w:t>
            </w:r>
          </w:p>
        </w:tc>
        <w:tc>
          <w:tcPr>
            <w:tcW w:w="87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4C6CA9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34 (4,2)</w:t>
            </w:r>
          </w:p>
        </w:tc>
        <w:tc>
          <w:tcPr>
            <w:tcW w:w="73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9568D3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19 (2,3)</w:t>
            </w:r>
          </w:p>
        </w:tc>
      </w:tr>
      <w:tr w:rsidR="007922B1" w:rsidRPr="00020C4A" w14:paraId="02B9A91F" w14:textId="77777777" w:rsidTr="00EB5550">
        <w:tc>
          <w:tcPr>
            <w:tcW w:w="22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4F060B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Большое кровотечение + клинически значимое небольшое кровотечение</w:t>
            </w:r>
          </w:p>
        </w:tc>
        <w:tc>
          <w:tcPr>
            <w:tcW w:w="1147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4BB13D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27 (3,2)</w:t>
            </w:r>
          </w:p>
        </w:tc>
        <w:tc>
          <w:tcPr>
            <w:tcW w:w="87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7F3E96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35 (4,3)</w:t>
            </w:r>
          </w:p>
        </w:tc>
        <w:tc>
          <w:tcPr>
            <w:tcW w:w="73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34E024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22 (2,7)</w:t>
            </w:r>
          </w:p>
        </w:tc>
      </w:tr>
      <w:tr w:rsidR="007922B1" w:rsidRPr="00020C4A" w14:paraId="6D64525D" w14:textId="77777777" w:rsidTr="00EB5550">
        <w:tc>
          <w:tcPr>
            <w:tcW w:w="22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799C98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Малое кровотечение</w:t>
            </w:r>
          </w:p>
        </w:tc>
        <w:tc>
          <w:tcPr>
            <w:tcW w:w="1147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1D41908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75 (8,9)</w:t>
            </w:r>
          </w:p>
        </w:tc>
        <w:tc>
          <w:tcPr>
            <w:tcW w:w="87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0D1171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98 (12,1)</w:t>
            </w:r>
          </w:p>
        </w:tc>
        <w:tc>
          <w:tcPr>
            <w:tcW w:w="73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070406D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58 (7,0)</w:t>
            </w:r>
          </w:p>
        </w:tc>
      </w:tr>
      <w:tr w:rsidR="007922B1" w:rsidRPr="00020C4A" w14:paraId="54383738" w14:textId="77777777" w:rsidTr="00EB5550">
        <w:tc>
          <w:tcPr>
            <w:tcW w:w="2236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CB89F8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Все кровотечения</w:t>
            </w:r>
          </w:p>
        </w:tc>
        <w:tc>
          <w:tcPr>
            <w:tcW w:w="1147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1CD49C7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94 (11,2)</w:t>
            </w:r>
          </w:p>
        </w:tc>
        <w:tc>
          <w:tcPr>
            <w:tcW w:w="87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B94063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121 (14,9)</w:t>
            </w:r>
          </w:p>
        </w:tc>
        <w:tc>
          <w:tcPr>
            <w:tcW w:w="738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8BEA12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74 (9,0)</w:t>
            </w:r>
          </w:p>
        </w:tc>
      </w:tr>
    </w:tbl>
    <w:p w14:paraId="0BAB3D15" w14:textId="77777777" w:rsidR="007922B1" w:rsidRPr="007C7135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7C713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События, связанные с каждой конечной точкой, учитывались по одному на каждого пациента, но пациенты могли вносить вклад в события, связанные с несколькими конечными точками.</w:t>
      </w:r>
    </w:p>
    <w:p w14:paraId="43530B05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Побочные эффекты, наблюдавшиеся у ≥1% пациентов в ходе исследования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AMPLIFY-EXT,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перечислены в таблице.</w:t>
      </w:r>
    </w:p>
    <w:p w14:paraId="63DAA817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 </w:t>
      </w:r>
    </w:p>
    <w:p w14:paraId="566F5C10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Побочные эффекты, наблюдавшиеся у ≥1% пациентов, получавших дополнительное лечение по поводу ТГВ и легочной эмболии в рамках исследования </w:t>
      </w: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AMPLIFY-EXT</w:t>
      </w:r>
    </w:p>
    <w:tbl>
      <w:tblPr>
        <w:tblW w:w="10206" w:type="dxa"/>
        <w:tblInd w:w="-8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2886"/>
        <w:gridCol w:w="3080"/>
        <w:gridCol w:w="2088"/>
      </w:tblGrid>
      <w:tr w:rsidR="007922B1" w:rsidRPr="00020C4A" w14:paraId="422F1078" w14:textId="77777777" w:rsidTr="00EB5550"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92BA643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Побочные эффекты</w:t>
            </w:r>
          </w:p>
        </w:tc>
        <w:tc>
          <w:tcPr>
            <w:tcW w:w="14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A9600A6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2,5 мг 2 раза/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 xml:space="preserve"> (N=840), n (%)</w:t>
            </w:r>
          </w:p>
        </w:tc>
        <w:tc>
          <w:tcPr>
            <w:tcW w:w="1509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7A3D5DF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Апиксабан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>, 5 мг 2 раза/</w:t>
            </w:r>
            <w:proofErr w:type="spellStart"/>
            <w:r w:rsidRPr="00020C4A">
              <w:rPr>
                <w:b/>
                <w:sz w:val="18"/>
                <w:szCs w:val="18"/>
                <w:lang w:eastAsia="ru-RU"/>
              </w:rPr>
              <w:t>сут</w:t>
            </w:r>
            <w:proofErr w:type="spellEnd"/>
            <w:r w:rsidRPr="00020C4A">
              <w:rPr>
                <w:b/>
                <w:sz w:val="18"/>
                <w:szCs w:val="18"/>
                <w:lang w:eastAsia="ru-RU"/>
              </w:rPr>
              <w:t xml:space="preserve"> (N=811), n (%)</w:t>
            </w:r>
          </w:p>
        </w:tc>
        <w:tc>
          <w:tcPr>
            <w:tcW w:w="10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3507F44" w14:textId="77777777" w:rsidR="007922B1" w:rsidRPr="00020C4A" w:rsidRDefault="007922B1" w:rsidP="00EB5550">
            <w:pPr>
              <w:rPr>
                <w:b/>
                <w:sz w:val="18"/>
                <w:szCs w:val="18"/>
                <w:lang w:eastAsia="ru-RU"/>
              </w:rPr>
            </w:pPr>
            <w:r w:rsidRPr="00020C4A">
              <w:rPr>
                <w:b/>
                <w:sz w:val="18"/>
                <w:szCs w:val="18"/>
                <w:lang w:eastAsia="ru-RU"/>
              </w:rPr>
              <w:t>Плацебо (N=826), n (%)</w:t>
            </w:r>
          </w:p>
        </w:tc>
      </w:tr>
      <w:tr w:rsidR="007922B1" w:rsidRPr="00020C4A" w14:paraId="417BF93D" w14:textId="77777777" w:rsidTr="00EB5550">
        <w:trPr>
          <w:trHeight w:val="119"/>
        </w:trPr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297B15A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Носовое кровотечение</w:t>
            </w:r>
          </w:p>
        </w:tc>
        <w:tc>
          <w:tcPr>
            <w:tcW w:w="14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07B8770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13 (1,5)</w:t>
            </w:r>
          </w:p>
        </w:tc>
        <w:tc>
          <w:tcPr>
            <w:tcW w:w="1509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E07A0F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29 (3,6)</w:t>
            </w:r>
          </w:p>
        </w:tc>
        <w:tc>
          <w:tcPr>
            <w:tcW w:w="10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5B5FB7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 (1,1)</w:t>
            </w:r>
          </w:p>
        </w:tc>
      </w:tr>
      <w:tr w:rsidR="007922B1" w:rsidRPr="00020C4A" w14:paraId="7F5A5723" w14:textId="77777777" w:rsidTr="00EB5550"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C15752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Гематурия</w:t>
            </w:r>
          </w:p>
        </w:tc>
        <w:tc>
          <w:tcPr>
            <w:tcW w:w="14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E3CF4E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12 (1,4)</w:t>
            </w:r>
          </w:p>
        </w:tc>
        <w:tc>
          <w:tcPr>
            <w:tcW w:w="1509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38CD6B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17 (2,1)</w:t>
            </w:r>
          </w:p>
        </w:tc>
        <w:tc>
          <w:tcPr>
            <w:tcW w:w="10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D1590A1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 (1,1)</w:t>
            </w:r>
          </w:p>
        </w:tc>
      </w:tr>
      <w:tr w:rsidR="007922B1" w:rsidRPr="00020C4A" w14:paraId="4B3B75F9" w14:textId="77777777" w:rsidTr="00EB5550"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7CDD413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Гематома</w:t>
            </w:r>
          </w:p>
        </w:tc>
        <w:tc>
          <w:tcPr>
            <w:tcW w:w="14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E4DA83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13 (1,5)</w:t>
            </w:r>
          </w:p>
        </w:tc>
        <w:tc>
          <w:tcPr>
            <w:tcW w:w="1509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43AC1C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16 (2,0)</w:t>
            </w:r>
          </w:p>
        </w:tc>
        <w:tc>
          <w:tcPr>
            <w:tcW w:w="10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D290F44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10 (1,2)</w:t>
            </w:r>
          </w:p>
        </w:tc>
      </w:tr>
      <w:tr w:rsidR="007922B1" w:rsidRPr="00020C4A" w14:paraId="42C2DD4A" w14:textId="77777777" w:rsidTr="00EB5550"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329BC3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Контузия</w:t>
            </w:r>
          </w:p>
        </w:tc>
        <w:tc>
          <w:tcPr>
            <w:tcW w:w="14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326F70E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18 (2,1)</w:t>
            </w:r>
          </w:p>
        </w:tc>
        <w:tc>
          <w:tcPr>
            <w:tcW w:w="1509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8E0A2D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18 (2,2)</w:t>
            </w:r>
          </w:p>
        </w:tc>
        <w:tc>
          <w:tcPr>
            <w:tcW w:w="10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CD3C1E9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18 (2,2)</w:t>
            </w:r>
          </w:p>
        </w:tc>
      </w:tr>
      <w:tr w:rsidR="007922B1" w:rsidRPr="00020C4A" w14:paraId="3147220B" w14:textId="77777777" w:rsidTr="00EB5550">
        <w:tc>
          <w:tcPr>
            <w:tcW w:w="105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8B02AF6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Кровоточивость десен</w:t>
            </w:r>
          </w:p>
        </w:tc>
        <w:tc>
          <w:tcPr>
            <w:tcW w:w="1414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96CF95C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12 (1,4)</w:t>
            </w:r>
          </w:p>
        </w:tc>
        <w:tc>
          <w:tcPr>
            <w:tcW w:w="1509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4A6F7AB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9 (1,1)</w:t>
            </w:r>
          </w:p>
        </w:tc>
        <w:tc>
          <w:tcPr>
            <w:tcW w:w="1023" w:type="pc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4782C45" w14:textId="77777777" w:rsidR="007922B1" w:rsidRPr="00020C4A" w:rsidRDefault="007922B1" w:rsidP="00EB5550">
            <w:pPr>
              <w:rPr>
                <w:sz w:val="18"/>
                <w:szCs w:val="18"/>
                <w:lang w:eastAsia="ru-RU"/>
              </w:rPr>
            </w:pPr>
            <w:r w:rsidRPr="00020C4A">
              <w:rPr>
                <w:sz w:val="18"/>
                <w:szCs w:val="18"/>
                <w:lang w:eastAsia="ru-RU"/>
              </w:rPr>
              <w:t>3 (0,4)</w:t>
            </w:r>
          </w:p>
        </w:tc>
      </w:tr>
    </w:tbl>
    <w:p w14:paraId="10F1C4B5" w14:textId="77777777" w:rsidR="007922B1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</w:pPr>
    </w:p>
    <w:p w14:paraId="26141CE3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Другие побочные эффекты.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Ниже приведены менее частые побочные эффекты у пациентов, принимавших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исследований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FD1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AMPLIFY-EXT,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наблюдавшиеся с частотой от ≥0,1% до &lt;1%.</w:t>
      </w:r>
    </w:p>
    <w:p w14:paraId="6CA4EEBA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крови и лимфатической системы: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геморрагическая анемия.</w:t>
      </w:r>
    </w:p>
    <w:p w14:paraId="0E67539A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ЖКТ: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гематохезия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геморроидальное кровотечение, желудочно-кишечное кровотечение, кровавая рвота, мелена, анальное кровотечение.</w:t>
      </w:r>
    </w:p>
    <w:p w14:paraId="2CFF0281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lastRenderedPageBreak/>
        <w:t>Травмы, интоксикации и осложнения манипуляций: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раневое кровотечение,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постпроцедурное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кровотечение, травматическая гематома,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периорбитальная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гематома.</w:t>
      </w:r>
    </w:p>
    <w:p w14:paraId="4E0FD43F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скелетно-мышечной системы и соединительной ткани: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кровоизлияние в мышцу.</w:t>
      </w:r>
    </w:p>
    <w:p w14:paraId="504E565E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репродуктивной системы и молочных желез: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вагинальное кровотечение, метроррагия,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менометроррагия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кровотечение из половых органов.</w:t>
      </w:r>
    </w:p>
    <w:p w14:paraId="68543A0C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сосудов: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кровоизлияния.</w:t>
      </w:r>
    </w:p>
    <w:p w14:paraId="0243DFC4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кожи и подкожной клетчатки: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экхимозы, кожные геморрагии, петехии.</w:t>
      </w:r>
    </w:p>
    <w:p w14:paraId="00EC09EB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органа зрения: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кровоизлияние в конъюнктиву, кровоизлияние в сетчатку, кровоизлияние в глаз.</w:t>
      </w:r>
    </w:p>
    <w:p w14:paraId="7A453A30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Лабораторные и инструментальные данные: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крови в моче, положительный результат анализа на скрытую кровь, скрытая кровь, повышенное содержание эритроцитов в моче.</w:t>
      </w:r>
    </w:p>
    <w:p w14:paraId="4CD62EA7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713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Общие расстройства и нарушения в месте введения:</w:t>
      </w:r>
      <w:r w:rsidRPr="007C71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гематома в месте инъекции, гематома в месте прокола сосуда.</w:t>
      </w:r>
    </w:p>
    <w:p w14:paraId="4FC8A6FE" w14:textId="77777777" w:rsidR="007922B1" w:rsidRDefault="007922B1" w:rsidP="007922B1">
      <w:pPr>
        <w:shd w:val="clear" w:color="auto" w:fill="FFFFFF"/>
        <w:spacing w:before="270" w:after="75" w:line="240" w:lineRule="auto"/>
        <w:ind w:left="-142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6365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Меры предосторожности</w:t>
      </w:r>
    </w:p>
    <w:p w14:paraId="5FBB2E72" w14:textId="77777777" w:rsidR="007922B1" w:rsidRPr="00FD115B" w:rsidRDefault="007922B1" w:rsidP="007922B1">
      <w:pPr>
        <w:shd w:val="clear" w:color="auto" w:fill="FFFFFF"/>
        <w:spacing w:before="270" w:after="75" w:line="240" w:lineRule="auto"/>
        <w:ind w:left="-142"/>
        <w:outlineLvl w:val="1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</w:p>
    <w:p w14:paraId="2AF1B2E4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Преждевременное прекращение терапии любым антикоагулянтом для перорального приема, включая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отсутствии адекватной альтернативной антикоагулянтной терапии повышает риск возникновения тромботических событий. В ходе клинических исследований у пациентов с фибрилляцией предсердий при переходе с терапии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апиксабаном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терапию варфарином наблюдалось повышение показателя частоты развития инсультов. Если прием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прекращен по причине, не связанной с патологическим кровотечением или завершением курса терапии, следует рассмотреть возможность назначения другого антикоагулянтного ЛС (см. </w:t>
      </w:r>
      <w:r w:rsidRPr="00FD115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E0EBED"/>
          <w:lang w:eastAsia="ru-RU"/>
        </w:rPr>
        <w:t>Клинические исследования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1568A8C0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Кровотечения</w:t>
      </w:r>
    </w:p>
    <w:p w14:paraId="6B1E9202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риск возникновения кровотечений и может вызывать серьезные, потенциально фатальные кровотечения (см. «Побочные действия»).</w:t>
      </w:r>
    </w:p>
    <w:p w14:paraId="0ED442C7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Одновременное применение ЛС, влияющих на гемостаз, повышает риск возникновения кровотечений. К ним относятся ацетилсалициловая кислота и другие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антитромбоцитарные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ЛС, другие антикоагулянты, гепарин,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тромболитические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ЛС, СИОЗС, СИОЗСН и НПВС (см. «Взаимодействия»).</w:t>
      </w:r>
    </w:p>
    <w:p w14:paraId="00127D13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Следует проинформировать пациентов о признаках и симптомах кровопотери и необходимости немедленного обращения в отделение неотложной помощи. Терапию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апиксабаном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пациентов с активным патологическим кровотечением следует отменить.</w:t>
      </w:r>
    </w:p>
    <w:p w14:paraId="6054FEE4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</w:pP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Нейтрализация антикоагулянтного эффекта. </w:t>
      </w:r>
    </w:p>
    <w:p w14:paraId="37C36B7D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ЛС, способное нейтрализовать активность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фактора 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Xa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Можно ожидать, что фармакодинамический эффект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сохраняться в течение по крайней мере 24 ч после приема последней дозы, т.е. в течение примерно двух T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1/2</w:t>
      </w: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Можно рассмотреть возможность применения концентрата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протромбинового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комплекса, концентрата активированного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протромбинового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комплекса или рекомбинантного фактора 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VIIa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их применение в клинических исследованиях не оценивалось (см. «Фармакология»). При применении концентрата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протромбинового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комплекса мониторинг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антикоагуляционного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эффекта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анализа на свертываемость крови (показатели ПВ, МНО или АЧТВ) или анти-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Xa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-активности не имеет смысла и не рекомендуется. Применение активированного угля для перорального приема снижает всасывание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 самым снижая его концентрацию в плазме крови (см. «Передозировка»).</w:t>
      </w:r>
    </w:p>
    <w:p w14:paraId="5EFF68C9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Гемодиализ, по-видимому, не оказывает существенного влияния на экспозицию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(см. «Фармакология»). Ожидается, что протамина сульфат и витамин K не будут оказывать влияние на антикоагулянтную активность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Опыт применения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антифибринолитических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ЛС (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транексамовая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кислота, аминокапроновая кислота) у пациентов, принимающих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отсутствует. Опыт применения системных кровоостанавливающих ЛС (десмопрессин) у пациентов, принимающих </w:t>
      </w:r>
      <w:proofErr w:type="spellStart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FD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отсутствует, и не ожидается, что они будут эффективны в качестве ЛС устраняющих его действие.</w:t>
      </w:r>
    </w:p>
    <w:p w14:paraId="0763C0B6" w14:textId="77777777" w:rsidR="007922B1" w:rsidRPr="00FD115B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D115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Спинальная/эпидуральная анестезия или пункция</w:t>
      </w:r>
    </w:p>
    <w:p w14:paraId="18E4C9DB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нейроаксиальной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анестезии (спинальной/эпидуральной анестезии) или спинальной/эпидуральной пункции у пациентов, получающих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антитромботические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ЛС для профилактики тромбоэмболических осложнений, существует риск развития эпидуральной или спинальной гематомы, которая может привести к длительному или необратимому параличу.</w:t>
      </w:r>
    </w:p>
    <w:p w14:paraId="1C2091D4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Риск развития таких событий может повышаться при использовании после хирургического вмешательства постоянных эпидуральных катетеров или при одновременном применении ЛС, влияющих на гемостаз. Постоянные эпидуральные или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интратекальные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катетеры не следует удалять ранее чем через 24 ч после последнего приема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Следующую дозу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принять не ранее чем через 5 ч после удаления катетера. Риск также может возрастать при травматической или повторной эпидуральной или спинномозговой пункции. В случае травматической пункции прием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отложить на 48 ч.</w:t>
      </w:r>
    </w:p>
    <w:p w14:paraId="28873F7E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Следует тщательно наблюдать за пациентами на предмет признаков и симптомов неврологических нарушений (например, онемение или слабость в ногах, дисфункция кишечника или мочевого пузыря). Если наблюдаются неврологические нарушения, необходимо проведение срочной диагностики и лечения. Перед проведением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нейроаксиального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вмешательства врачу следует оценить соотношение потенциальной пользы и возможного риска для пациентов, которые получают антикоагулянтную терапию или будут ее получать для профилактики тромбоза.</w:t>
      </w:r>
    </w:p>
    <w:p w14:paraId="679B9791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32F8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Пациенты с протезированными клапанами сердца</w:t>
      </w:r>
    </w:p>
    <w:p w14:paraId="57128ADD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Безопасность и эффективность применения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пациентов с протезированными клапанами сердца не изучались. Поэтому применение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таких пациентов не рекомендуется.</w:t>
      </w:r>
    </w:p>
    <w:p w14:paraId="7D661D6B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32F8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 xml:space="preserve">Острая легочная эмболия у гемодинамически нестабильных пациентов или пациентов, которым требуется проведение тромболизиса или легочной </w:t>
      </w:r>
      <w:proofErr w:type="spellStart"/>
      <w:r w:rsidRPr="00032F8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эмболэктомии</w:t>
      </w:r>
      <w:proofErr w:type="spellEnd"/>
    </w:p>
    <w:p w14:paraId="5183899B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рекомендуется применение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альтернативы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нефракционированному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гепарину для проведения начальной терапии у пациентов с легочной эмболией, у которых наблюдается гемодинамическая нестабильность или которым может потребоваться проведение тромболизиса или легочной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эмболэктомии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E42E357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32F8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Повышенный риск тромбоза у пациентов с антифосфолипидным синдромом с тройной положительной реакцией</w:t>
      </w:r>
    </w:p>
    <w:p w14:paraId="271846E4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рекомендуется применение пероральных антикоагулянтов прямого действия, включая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пациентов с антифосфолипидным синдромом с тройной положительной реакцией. У пациентов с антифосфолипидным синдромом (особенно с тройной положительной реакцией (положительная реакция на волчаночный антикоагулянт, кардиолипиновые антитела и антитела к бета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-гликопротеину I) терапия пероральными антикоагулянтами прямого действия ассоциировалась с повышением частоты возникновения повторных тромботических событий по сравнению с терапией антагонистами витамина K.</w:t>
      </w:r>
    </w:p>
    <w:p w14:paraId="69645AD6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32F8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E0EBED"/>
          <w:lang w:eastAsia="ru-RU"/>
        </w:rPr>
        <w:t>Особые группы пациентов</w:t>
      </w:r>
    </w:p>
    <w:p w14:paraId="49FDC4EB" w14:textId="77777777" w:rsidR="007922B1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365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Пожилой возраст.</w:t>
      </w:r>
      <w:r w:rsidRPr="00963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7784AE8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общего числа участников клинических исследований </w:t>
      </w:r>
      <w:r w:rsidRPr="00032F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ARISTOTLE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032F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AVERROES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&gt;69% пациентов были в возрасте 65 лет и старше, а &gt;31% — в возрасте 75 лет и старше. В клинических исследованиях </w:t>
      </w:r>
      <w:r w:rsidRPr="00032F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ADVANCE-1, ADVANCE-2 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032F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ADVANCE-3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50% пациентов были в возрасте 65 лет и старше, а 16% — в возрасте 75 лет и старше. В клинических исследованиях </w:t>
      </w:r>
      <w:r w:rsidRPr="00032F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032F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AMPLIFY-EXT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&gt;32% пациентов были в возрасте 65 лет и старше и &gt;13% — в возрасте 75 лет и старше. Клинически значимых различий в 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безопасности и эффективности применения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сравнении показателей пациентов в разных возрастных группах не наблюдалось.</w:t>
      </w:r>
    </w:p>
    <w:p w14:paraId="4CDE7076" w14:textId="77777777" w:rsidR="007922B1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</w:pPr>
      <w:r w:rsidRPr="0096365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Почечная недостаточность. </w:t>
      </w:r>
    </w:p>
    <w:p w14:paraId="0C8D31F7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Снижение риска развития инсульта и системной эмболии у пациентов с неклапанной фибрилляцией предсердий: рекомендуемая доза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2,5 мг 2 раза/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пациентов по крайней мере с двумя из следующих характеристик (см. «Способ применения и дозы»):</w:t>
      </w:r>
    </w:p>
    <w:p w14:paraId="1FC29511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возраст ≥80 лет;</w:t>
      </w:r>
    </w:p>
    <w:p w14:paraId="06DD79D5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масса тела ≤60 кг;</w:t>
      </w:r>
    </w:p>
    <w:p w14:paraId="79978CE2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креатинин сыворотки крови ≥1,5 мг/дл.</w:t>
      </w:r>
    </w:p>
    <w:p w14:paraId="4604B642" w14:textId="77777777" w:rsidR="007922B1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365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Пациенты с терминальной стадией почечной недостаточности, находящиеся на диализе:</w:t>
      </w:r>
      <w:r w:rsidRPr="00963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DD0DB11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исследованиях клинической эффективности и безопасности применения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пациенты с терминальной стадией почечной недостаточности, находящиеся на диализе, участие не принимали. У пациентов с терминальной стадией почечной недостаточности, находящихся на прерывистом гемодиализе, прием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обычно рекомендуемой дозе (см. «Способ применения и дозы») приведет к показателям концентрации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фармакодинамической активности сопоставимым с таковыми, которые наблюдались в ходе исследования </w:t>
      </w:r>
      <w:r w:rsidRPr="00032F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ARISTOTLE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(см. «Фармакология»). Неизвестно, будет ли при таких показателях концентрации наблюдаться такое же снижение риска развития инсульта и возникновения кровотечений у пациентов с терминальной стадией почечной недостаточности, находящихся на диализе, как это наблюдалось в ходе исследования </w:t>
      </w:r>
      <w:r w:rsidRPr="00032F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E0EBED"/>
          <w:lang w:eastAsia="ru-RU"/>
        </w:rPr>
        <w:t>ARISTOTLE</w:t>
      </w: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070F3E5" w14:textId="77777777" w:rsidR="007922B1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</w:pPr>
      <w:r w:rsidRPr="0096365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Профилактика ТГВ после операции по эндопротезированию тазобедренного или коленного сустава, лечение ТГВ и легочной эмболии и снижение риска возникновения рецидива ТГВ и легочной эмболии: </w:t>
      </w:r>
    </w:p>
    <w:p w14:paraId="58494E10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Коррекция дозы для пациентов с нарушениями функции почек, включая пациентов с терминальной стадией почечной недостаточности, находящихся на диализе, не рекомендуется (см. «Способ применения и дозы»). В ходе клинических исследований эффективности и безопасности применения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принимали участие пациенты с терминальной стадией почечной недостаточности, находящиеся на диализе, или пациенты с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Cl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креатинина &lt;15 мл/мин; поэтому рекомендации по дозированию основаны на данных фармакокинетических и фармакодинамических параметров (анти-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Xa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-активность) пациентов с терминальной стадией почечной недостаточности, находящихся на диализе (см. «Фармакология»).</w:t>
      </w:r>
    </w:p>
    <w:p w14:paraId="0F44ACA8" w14:textId="77777777" w:rsidR="007922B1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3655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E0EBED"/>
          <w:lang w:eastAsia="ru-RU"/>
        </w:rPr>
        <w:t>Печеночная недостаточность.</w:t>
      </w:r>
      <w:r w:rsidRPr="00963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8A071A3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Пациентам с печеночной недостаточностью легкой степени тяжести (класс A по классификации Чайлд-Пью) коррекции дозы не требуется.</w:t>
      </w:r>
    </w:p>
    <w:p w14:paraId="1E34546E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Поскольку у пациентов с печеночной недостаточностью средней степени тяжести (класс B по классификации Чайлд-Пью) могут наблюдаться нарушения внутреннего пути активации свертывания крови, а клинический опыт применения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таких пациентов ограничен, какие-либо рекомендации по дозированию не могут быть предоставлены (см. «Фармакология»).</w:t>
      </w:r>
    </w:p>
    <w:p w14:paraId="5897CE1C" w14:textId="77777777" w:rsidR="007922B1" w:rsidRPr="00032F8D" w:rsidRDefault="007922B1" w:rsidP="007922B1">
      <w:pPr>
        <w:shd w:val="clear" w:color="auto" w:fill="FFFFFF"/>
        <w:spacing w:before="60" w:after="240" w:line="315" w:lineRule="atLeast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</w:t>
      </w:r>
      <w:proofErr w:type="spellStart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апиксабана</w:t>
      </w:r>
      <w:proofErr w:type="spellEnd"/>
      <w:r w:rsidRPr="00032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пациентов с печеночной недостаточностью тяжелой степени (класс С по классификации Чайлд-Пью) не рекомендуется (см. «Фармакология»).</w:t>
      </w:r>
    </w:p>
    <w:bookmarkEnd w:id="2"/>
    <w:bookmarkEnd w:id="3"/>
    <w:p w14:paraId="0F266809" w14:textId="77777777" w:rsidR="007D1E11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1E11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69B3"/>
    <w:rsid w:val="00272651"/>
    <w:rsid w:val="00296C4C"/>
    <w:rsid w:val="002E5939"/>
    <w:rsid w:val="00305665"/>
    <w:rsid w:val="00322BF6"/>
    <w:rsid w:val="003C0BFA"/>
    <w:rsid w:val="003E147F"/>
    <w:rsid w:val="003E449B"/>
    <w:rsid w:val="003E5FF7"/>
    <w:rsid w:val="00420049"/>
    <w:rsid w:val="00427DFA"/>
    <w:rsid w:val="0043124B"/>
    <w:rsid w:val="00455712"/>
    <w:rsid w:val="00476ABF"/>
    <w:rsid w:val="004E354A"/>
    <w:rsid w:val="004F58AF"/>
    <w:rsid w:val="005107B5"/>
    <w:rsid w:val="005B3510"/>
    <w:rsid w:val="005B7E8D"/>
    <w:rsid w:val="005C3368"/>
    <w:rsid w:val="005D7C83"/>
    <w:rsid w:val="00676DC6"/>
    <w:rsid w:val="00684069"/>
    <w:rsid w:val="006B1D8F"/>
    <w:rsid w:val="006D1F93"/>
    <w:rsid w:val="00727269"/>
    <w:rsid w:val="00784598"/>
    <w:rsid w:val="007922B1"/>
    <w:rsid w:val="007B0005"/>
    <w:rsid w:val="007B3C75"/>
    <w:rsid w:val="007C7135"/>
    <w:rsid w:val="007D1E11"/>
    <w:rsid w:val="007E7160"/>
    <w:rsid w:val="00813779"/>
    <w:rsid w:val="00837553"/>
    <w:rsid w:val="00866A30"/>
    <w:rsid w:val="008A5867"/>
    <w:rsid w:val="008B5675"/>
    <w:rsid w:val="008E54D0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9D4134"/>
    <w:rsid w:val="00A41853"/>
    <w:rsid w:val="00A9010F"/>
    <w:rsid w:val="00AC7E26"/>
    <w:rsid w:val="00AD1D5B"/>
    <w:rsid w:val="00B00B3C"/>
    <w:rsid w:val="00B25041"/>
    <w:rsid w:val="00B40CBF"/>
    <w:rsid w:val="00BC0E2A"/>
    <w:rsid w:val="00BD31C9"/>
    <w:rsid w:val="00BD78F5"/>
    <w:rsid w:val="00BE6977"/>
    <w:rsid w:val="00BF061B"/>
    <w:rsid w:val="00C058AF"/>
    <w:rsid w:val="00C661F3"/>
    <w:rsid w:val="00C755B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DF39E5"/>
    <w:rsid w:val="00DF707A"/>
    <w:rsid w:val="00E43A54"/>
    <w:rsid w:val="00E571E6"/>
    <w:rsid w:val="00F06922"/>
    <w:rsid w:val="00F20101"/>
    <w:rsid w:val="00F435BF"/>
    <w:rsid w:val="00F878D4"/>
    <w:rsid w:val="00FB0A9E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active-substance/apiksaban-3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1ad4e448-0a17-4d54-9754-3791c0b68b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rls.minzdrav.gov.ru/" TargetMode="External"/><Relationship Id="rId9" Type="http://schemas.openxmlformats.org/officeDocument/2006/relationships/hyperlink" Target="https://www.rlsnet.ru/drugs/elikvis-43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17</Pages>
  <Words>4813</Words>
  <Characters>27436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21</cp:revision>
  <dcterms:created xsi:type="dcterms:W3CDTF">2024-08-11T07:06:00Z</dcterms:created>
  <dcterms:modified xsi:type="dcterms:W3CDTF">2024-09-24T07:14:00Z</dcterms:modified>
</cp:coreProperties>
</file>